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1B60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2" w:name="_GoBack"/>
      <w:bookmarkEnd w:id="2"/>
      <w:r>
        <w:rPr>
          <w:rFonts w:hint="eastAsia" w:ascii="方正小标宋简体" w:hAnsi="方正小标宋简体" w:eastAsia="方正小标宋简体" w:cs="方正小标宋简体"/>
          <w:b w:val="0"/>
          <w:bCs w:val="0"/>
          <w:color w:val="auto"/>
          <w:sz w:val="44"/>
          <w:szCs w:val="44"/>
          <w:lang w:val="en-US" w:eastAsia="zh-CN"/>
        </w:rPr>
        <w:t>《贵州金农私募基金管理有限公司</w:t>
      </w:r>
      <w:r>
        <w:rPr>
          <w:rFonts w:hint="eastAsia" w:ascii="方正小标宋简体" w:hAnsi="方正小标宋简体" w:eastAsia="方正小标宋简体" w:cs="方正小标宋简体"/>
          <w:b w:val="0"/>
          <w:bCs w:val="0"/>
          <w:color w:val="auto"/>
          <w:sz w:val="44"/>
          <w:szCs w:val="44"/>
        </w:rPr>
        <w:t>采购关于</w:t>
      </w:r>
      <w:r>
        <w:rPr>
          <w:rFonts w:hint="eastAsia" w:ascii="方正小标宋简体" w:hAnsi="方正小标宋简体" w:eastAsia="方正小标宋简体" w:cs="方正小标宋简体"/>
          <w:b w:val="0"/>
          <w:bCs w:val="0"/>
          <w:color w:val="auto"/>
          <w:sz w:val="44"/>
          <w:szCs w:val="44"/>
          <w:lang w:val="en-US" w:eastAsia="zh-CN"/>
        </w:rPr>
        <w:t>贵阳筑农投资合伙企业（有限合伙）评估</w:t>
      </w:r>
    </w:p>
    <w:p w14:paraId="19B755C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rPr>
      </w:pPr>
      <w:r>
        <w:rPr>
          <w:rFonts w:hint="eastAsia" w:ascii="方正小标宋简体" w:hAnsi="方正小标宋简体" w:eastAsia="方正小标宋简体" w:cs="方正小标宋简体"/>
          <w:b w:val="0"/>
          <w:bCs w:val="0"/>
          <w:color w:val="auto"/>
          <w:sz w:val="44"/>
          <w:szCs w:val="44"/>
        </w:rPr>
        <w:t>服务项目</w:t>
      </w:r>
      <w:r>
        <w:rPr>
          <w:rFonts w:hint="eastAsia" w:ascii="方正小标宋简体" w:hAnsi="方正小标宋简体" w:eastAsia="方正小标宋简体" w:cs="方正小标宋简体"/>
          <w:b w:val="0"/>
          <w:bCs w:val="0"/>
          <w:color w:val="auto"/>
          <w:sz w:val="44"/>
          <w:szCs w:val="44"/>
          <w:lang w:val="en-US" w:eastAsia="zh-CN"/>
        </w:rPr>
        <w:t>》的采购公告</w:t>
      </w:r>
    </w:p>
    <w:p w14:paraId="73117AE4">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14:paraId="0FADD7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一、采购单位</w:t>
      </w:r>
    </w:p>
    <w:p w14:paraId="0CF975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贵州金农私募基金管理有限公司</w:t>
      </w:r>
    </w:p>
    <w:p w14:paraId="68D4422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二、采购内容</w:t>
      </w:r>
    </w:p>
    <w:p w14:paraId="283873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评估服务：对贵阳筑农投资合伙企业（有限合伙）开展股权价值评估工作，并按照采购单位要求的基准日出具评估报告。</w:t>
      </w:r>
    </w:p>
    <w:p w14:paraId="4D8EC7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三、采购预算</w:t>
      </w:r>
    </w:p>
    <w:p w14:paraId="64EC1F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本采购项目经费</w:t>
      </w:r>
      <w:r>
        <w:rPr>
          <w:rFonts w:hint="eastAsia" w:ascii="仿宋_GB2312" w:hAnsi="仿宋_GB2312" w:eastAsia="仿宋_GB2312" w:cs="仿宋_GB2312"/>
          <w:sz w:val="32"/>
          <w:szCs w:val="32"/>
          <w:lang w:val="en-US" w:eastAsia="zh-CN"/>
        </w:rPr>
        <w:t>不高于4.25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D04BD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四、采购要求</w:t>
      </w:r>
    </w:p>
    <w:p w14:paraId="231115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报价人必须具备以下条件：</w:t>
      </w:r>
    </w:p>
    <w:p w14:paraId="675C9F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股权评估</w:t>
      </w:r>
      <w:r>
        <w:rPr>
          <w:rFonts w:hint="eastAsia" w:ascii="仿宋_GB2312" w:hAnsi="仿宋_GB2312" w:eastAsia="仿宋_GB2312" w:cs="仿宋_GB2312"/>
          <w:color w:val="auto"/>
          <w:sz w:val="32"/>
          <w:szCs w:val="32"/>
        </w:rPr>
        <w:t>相关资质</w:t>
      </w:r>
      <w:r>
        <w:rPr>
          <w:rFonts w:hint="eastAsia" w:ascii="仿宋_GB2312" w:hAnsi="仿宋_GB2312" w:eastAsia="仿宋_GB2312" w:cs="仿宋_GB2312"/>
          <w:color w:val="auto"/>
          <w:sz w:val="32"/>
          <w:szCs w:val="32"/>
          <w:lang w:eastAsia="zh-CN"/>
        </w:rPr>
        <w:t>，近一年内完成国</w:t>
      </w:r>
      <w:r>
        <w:rPr>
          <w:rFonts w:hint="eastAsia" w:ascii="仿宋_GB2312" w:hAnsi="仿宋_GB2312" w:eastAsia="仿宋_GB2312" w:cs="仿宋_GB2312"/>
          <w:color w:val="auto"/>
          <w:sz w:val="32"/>
          <w:szCs w:val="32"/>
          <w:lang w:val="en-US" w:eastAsia="zh-CN"/>
        </w:rPr>
        <w:t>有企业资产评估</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不少于3个（含3个）</w:t>
      </w:r>
      <w:r>
        <w:rPr>
          <w:rFonts w:hint="eastAsia" w:ascii="仿宋_GB2312" w:hAnsi="仿宋_GB2312" w:eastAsia="仿宋_GB2312" w:cs="仿宋_GB2312"/>
          <w:color w:val="auto"/>
          <w:sz w:val="32"/>
          <w:szCs w:val="32"/>
          <w:lang w:eastAsia="zh-CN"/>
        </w:rPr>
        <w:t>；具</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独立承担民事责任的能力</w:t>
      </w:r>
      <w:r>
        <w:rPr>
          <w:rFonts w:hint="eastAsia" w:ascii="仿宋_GB2312" w:hAnsi="仿宋_GB2312" w:eastAsia="仿宋_GB2312" w:cs="仿宋_GB2312"/>
          <w:color w:val="000000" w:themeColor="text1"/>
          <w:sz w:val="32"/>
          <w:szCs w:val="32"/>
          <w14:textFill>
            <w14:solidFill>
              <w14:schemeClr w14:val="tx1"/>
            </w14:solidFill>
          </w14:textFill>
        </w:rPr>
        <w:t>。</w:t>
      </w:r>
    </w:p>
    <w:p w14:paraId="528D3B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（二）参加本次采购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w:t>
      </w:r>
      <w:r>
        <w:rPr>
          <w:rFonts w:hint="eastAsia" w:ascii="仿宋_GB2312" w:hAnsi="仿宋_GB2312" w:eastAsia="仿宋_GB2312" w:cs="仿宋_GB2312"/>
          <w:color w:val="000000" w:themeColor="text1"/>
          <w:sz w:val="32"/>
          <w:szCs w:val="32"/>
          <w14:textFill>
            <w14:solidFill>
              <w14:schemeClr w14:val="tx1"/>
            </w14:solidFill>
          </w14:textFill>
        </w:rPr>
        <w:t>三年，在经营活动中没有违法违规记录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质量管理水平合格。</w:t>
      </w:r>
    </w:p>
    <w:p w14:paraId="575F80D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（三）拟投入本项目的项目负责人具有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资产评估师</w:t>
      </w:r>
      <w:r>
        <w:rPr>
          <w:rFonts w:hint="eastAsia" w:ascii="仿宋_GB2312" w:hAnsi="仿宋_GB2312" w:eastAsia="仿宋_GB2312" w:cs="仿宋_GB2312"/>
          <w:color w:val="000000" w:themeColor="text1"/>
          <w:sz w:val="32"/>
          <w:szCs w:val="32"/>
          <w:highlight w:val="none"/>
          <w14:textFill>
            <w14:solidFill>
              <w14:schemeClr w14:val="tx1"/>
            </w14:solidFill>
          </w14:textFill>
        </w:rPr>
        <w:t>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项目负责人</w:t>
      </w:r>
      <w:r>
        <w:rPr>
          <w:rFonts w:hint="eastAsia" w:ascii="仿宋_GB2312" w:hAnsi="仿宋_GB2312" w:eastAsia="仿宋_GB2312" w:cs="仿宋_GB2312"/>
          <w:color w:val="000000" w:themeColor="text1"/>
          <w:sz w:val="32"/>
          <w:szCs w:val="32"/>
          <w:highlight w:val="none"/>
          <w14:textFill>
            <w14:solidFill>
              <w14:schemeClr w14:val="tx1"/>
            </w14:solidFill>
          </w14:textFill>
        </w:rPr>
        <w:t>须到被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单位开展现场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w:t>
      </w:r>
    </w:p>
    <w:p w14:paraId="538257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五、报价方式</w:t>
      </w:r>
    </w:p>
    <w:p w14:paraId="015C55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一次性固定报价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最高不得超过</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ABFDFF1">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181BBF8B">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4F1CE57D">
      <w:pPr>
        <w:keepNext w:val="0"/>
        <w:keepLines w:val="0"/>
        <w:pageBreakBefore w:val="0"/>
        <w:widowControl w:val="0"/>
        <w:kinsoku/>
        <w:wordWrap/>
        <w:overflowPunct/>
        <w:topLinePunct w:val="0"/>
        <w:autoSpaceDE/>
        <w:autoSpaceDN/>
        <w:bidi w:val="0"/>
        <w:adjustRightInd/>
        <w:spacing w:line="560" w:lineRule="exact"/>
        <w:ind w:left="1473" w:leftChars="304" w:hanging="835" w:hangingChars="261"/>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贵州金农私募基金管理有限公司</w:t>
      </w:r>
      <w:r>
        <w:rPr>
          <w:rFonts w:hint="eastAsia" w:ascii="仿宋_GB2312" w:hAnsi="仿宋_GB2312" w:eastAsia="仿宋_GB2312" w:cs="仿宋_GB2312"/>
          <w:b w:val="0"/>
          <w:bCs w:val="0"/>
          <w:color w:val="auto"/>
          <w:sz w:val="32"/>
          <w:szCs w:val="32"/>
        </w:rPr>
        <w:t>采购关于</w:t>
      </w:r>
      <w:r>
        <w:rPr>
          <w:rFonts w:hint="eastAsia" w:ascii="仿宋_GB2312" w:hAnsi="仿宋_GB2312" w:eastAsia="仿宋_GB2312" w:cs="仿宋_GB2312"/>
          <w:b w:val="0"/>
          <w:bCs w:val="0"/>
          <w:color w:val="auto"/>
          <w:sz w:val="32"/>
          <w:szCs w:val="32"/>
          <w:lang w:val="en-US" w:eastAsia="zh-CN"/>
        </w:rPr>
        <w:t>贵阳筑农投资合伙企业（有限合伙）评估</w:t>
      </w:r>
      <w:r>
        <w:rPr>
          <w:rFonts w:hint="eastAsia" w:ascii="仿宋_GB2312" w:hAnsi="仿宋_GB2312" w:eastAsia="仿宋_GB2312" w:cs="仿宋_GB2312"/>
          <w:b w:val="0"/>
          <w:bCs w:val="0"/>
          <w:color w:val="auto"/>
          <w:sz w:val="32"/>
          <w:szCs w:val="32"/>
        </w:rPr>
        <w:t>服务项目</w:t>
      </w:r>
      <w:r>
        <w:rPr>
          <w:rFonts w:hint="eastAsia" w:ascii="仿宋_GB2312" w:hAnsi="仿宋_GB2312" w:eastAsia="仿宋_GB2312" w:cs="仿宋_GB2312"/>
          <w:b w:val="0"/>
          <w:bCs w:val="0"/>
          <w:color w:val="auto"/>
          <w:sz w:val="32"/>
          <w:szCs w:val="32"/>
          <w:lang w:val="en-US" w:eastAsia="zh-CN"/>
        </w:rPr>
        <w:t>询价文件</w:t>
      </w:r>
    </w:p>
    <w:p w14:paraId="3CE3998B">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sectPr>
          <w:pgSz w:w="11906" w:h="16838"/>
          <w:pgMar w:top="2041" w:right="1474" w:bottom="1984" w:left="1587" w:header="851" w:footer="992" w:gutter="0"/>
          <w:cols w:space="425" w:num="1"/>
          <w:docGrid w:type="lines" w:linePitch="312" w:charSpace="0"/>
        </w:sectPr>
      </w:pPr>
    </w:p>
    <w:p w14:paraId="38B14C6B">
      <w:pPr>
        <w:spacing w:line="600" w:lineRule="exact"/>
        <w:jc w:val="center"/>
        <w:rPr>
          <w:rFonts w:ascii="仿宋" w:hAnsi="仿宋" w:eastAsia="仿宋"/>
          <w:b/>
          <w:color w:val="000000" w:themeColor="text1"/>
          <w:sz w:val="28"/>
          <w:szCs w:val="28"/>
          <w14:textFill>
            <w14:solidFill>
              <w14:schemeClr w14:val="tx1"/>
            </w14:solidFill>
          </w14:textFill>
        </w:rPr>
      </w:pPr>
    </w:p>
    <w:p w14:paraId="31A1EC83">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贵阳筑农投资合伙企业（有限合伙）评估</w:t>
      </w:r>
      <w:r>
        <w:rPr>
          <w:rFonts w:hint="eastAsia" w:ascii="仿宋_GB2312" w:hAnsi="仿宋_GB2312" w:eastAsia="仿宋_GB2312" w:cs="仿宋_GB2312"/>
          <w:b/>
          <w:bCs/>
          <w:color w:val="auto"/>
          <w:sz w:val="32"/>
          <w:szCs w:val="32"/>
        </w:rPr>
        <w:t>服务项目</w:t>
      </w:r>
    </w:p>
    <w:p w14:paraId="2F9208CB">
      <w:pPr>
        <w:spacing w:line="720" w:lineRule="exact"/>
        <w:jc w:val="center"/>
        <w:rPr>
          <w:rFonts w:hint="eastAsia" w:ascii="仿宋_GB2312" w:hAnsi="仿宋_GB2312" w:eastAsia="仿宋_GB2312" w:cs="仿宋_GB2312"/>
          <w:b/>
          <w:bCs/>
          <w:color w:val="auto"/>
          <w:sz w:val="32"/>
          <w:szCs w:val="32"/>
        </w:rPr>
      </w:pPr>
    </w:p>
    <w:p w14:paraId="038DEFE0">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62DB8406">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59C2B218">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496248C6">
      <w:pPr>
        <w:spacing w:line="720" w:lineRule="exact"/>
        <w:ind w:firstLine="3694" w:firstLineChars="115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询价文件</w:t>
      </w:r>
    </w:p>
    <w:p w14:paraId="70CA00F1">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6C7673C1">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0424B5C0">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5D6284DE">
      <w:pPr>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08057C1">
      <w:pPr>
        <w:spacing w:line="6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3133D4A9">
      <w:pPr>
        <w:spacing w:line="6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115607D5">
      <w:pPr>
        <w:spacing w:line="600" w:lineRule="exact"/>
        <w:jc w:val="left"/>
        <w:rPr>
          <w:rFonts w:hint="eastAsia" w:ascii="仿宋_GB2312" w:hAnsi="仿宋_GB2312" w:eastAsia="仿宋_GB2312" w:cs="仿宋_GB2312"/>
          <w:b/>
          <w:color w:val="000000" w:themeColor="text1"/>
          <w:sz w:val="32"/>
          <w:szCs w:val="32"/>
          <w14:textFill>
            <w14:solidFill>
              <w14:schemeClr w14:val="tx1"/>
            </w14:solidFill>
          </w14:textFill>
        </w:rPr>
      </w:pPr>
    </w:p>
    <w:p w14:paraId="1A15604B">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人：</w:t>
      </w:r>
      <w:r>
        <w:rPr>
          <w:rFonts w:hint="eastAsia" w:ascii="仿宋_GB2312" w:hAnsi="仿宋_GB2312" w:eastAsia="仿宋_GB2312" w:cs="仿宋_GB2312"/>
          <w:color w:val="auto"/>
          <w:sz w:val="32"/>
          <w:szCs w:val="32"/>
          <w:lang w:val="en-US" w:eastAsia="zh-CN"/>
        </w:rPr>
        <w:t>贵州金农私募基金管理有限公司</w:t>
      </w:r>
    </w:p>
    <w:p w14:paraId="08BEB61C">
      <w:pPr>
        <w:pStyle w:val="2"/>
        <w:rPr>
          <w:rFonts w:hint="eastAsia"/>
        </w:rPr>
      </w:pPr>
    </w:p>
    <w:p w14:paraId="7F0D6390">
      <w:pPr>
        <w:rPr>
          <w:rFonts w:hint="eastAsia"/>
        </w:rPr>
      </w:pPr>
    </w:p>
    <w:p w14:paraId="364207F4">
      <w:pPr>
        <w:pStyle w:val="2"/>
        <w:rPr>
          <w:rFonts w:hint="eastAsia"/>
        </w:rPr>
      </w:pPr>
    </w:p>
    <w:p w14:paraId="39B51536">
      <w:pPr>
        <w:rPr>
          <w:rFonts w:hint="eastAsia"/>
        </w:rPr>
      </w:pPr>
    </w:p>
    <w:p w14:paraId="09B97747">
      <w:pPr>
        <w:spacing w:line="6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二〇</w:t>
      </w:r>
      <w:r>
        <w:rPr>
          <w:rFonts w:hint="eastAsia" w:ascii="仿宋" w:hAnsi="仿宋" w:eastAsia="仿宋"/>
          <w:b/>
          <w:bCs/>
          <w:color w:val="000000" w:themeColor="text1"/>
          <w:sz w:val="32"/>
          <w:szCs w:val="32"/>
          <w:lang w:val="en-US" w:eastAsia="zh-CN"/>
          <w14:textFill>
            <w14:solidFill>
              <w14:schemeClr w14:val="tx1"/>
            </w14:solidFill>
          </w14:textFill>
        </w:rPr>
        <w:t>二六</w:t>
      </w:r>
      <w:r>
        <w:rPr>
          <w:rFonts w:hint="eastAsia" w:ascii="仿宋" w:hAnsi="仿宋" w:eastAsia="仿宋"/>
          <w:b/>
          <w:bCs/>
          <w:color w:val="000000" w:themeColor="text1"/>
          <w:sz w:val="32"/>
          <w:szCs w:val="32"/>
          <w14:textFill>
            <w14:solidFill>
              <w14:schemeClr w14:val="tx1"/>
            </w14:solidFill>
          </w14:textFill>
        </w:rPr>
        <w:t>年</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14:textFill>
            <w14:solidFill>
              <w14:schemeClr w14:val="tx1"/>
            </w14:solidFill>
          </w14:textFill>
        </w:rPr>
        <w:t>月</w:t>
      </w:r>
    </w:p>
    <w:p w14:paraId="2C2EB119">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贵阳筑农投资合伙企业（有限合伙）评估</w:t>
      </w:r>
      <w:r>
        <w:rPr>
          <w:rFonts w:hint="eastAsia" w:ascii="仿宋_GB2312" w:hAnsi="仿宋_GB2312" w:eastAsia="仿宋_GB2312" w:cs="仿宋_GB2312"/>
          <w:b/>
          <w:bCs/>
          <w:color w:val="auto"/>
          <w:sz w:val="32"/>
          <w:szCs w:val="32"/>
        </w:rPr>
        <w:t>服务项目</w:t>
      </w:r>
      <w:r>
        <w:rPr>
          <w:rFonts w:hint="eastAsia" w:ascii="仿宋_GB2312" w:hAnsi="仿宋_GB2312" w:eastAsia="仿宋_GB2312" w:cs="仿宋_GB2312"/>
          <w:b/>
          <w:bCs/>
          <w:color w:val="auto"/>
          <w:sz w:val="32"/>
          <w:szCs w:val="32"/>
          <w:lang w:val="en-US" w:eastAsia="zh-CN"/>
        </w:rPr>
        <w:t>报价</w:t>
      </w:r>
      <w:r>
        <w:rPr>
          <w:rFonts w:hint="eastAsia" w:ascii="仿宋_GB2312" w:hAnsi="仿宋_GB2312" w:eastAsia="仿宋_GB2312" w:cs="仿宋_GB2312"/>
          <w:b/>
          <w:bCs/>
          <w:color w:val="auto"/>
          <w:sz w:val="32"/>
          <w:szCs w:val="32"/>
        </w:rPr>
        <w:t>邀请函</w:t>
      </w:r>
    </w:p>
    <w:p w14:paraId="1A5E49A8">
      <w:pPr>
        <w:spacing w:line="600" w:lineRule="exact"/>
        <w:jc w:val="center"/>
        <w:rPr>
          <w:rFonts w:hint="eastAsia" w:ascii="仿宋_GB2312" w:hAnsi="仿宋_GB2312" w:eastAsia="仿宋_GB2312" w:cs="仿宋_GB2312"/>
          <w:b/>
          <w:bCs/>
          <w:color w:val="auto"/>
          <w:sz w:val="32"/>
          <w:szCs w:val="32"/>
          <w:lang w:eastAsia="zh-CN"/>
        </w:rPr>
      </w:pPr>
    </w:p>
    <w:p w14:paraId="3AB212BB">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lang w:val="en-US" w:eastAsia="zh-CN"/>
        </w:rPr>
        <w:t>贵州金农私募基金管理有限公司</w:t>
      </w:r>
      <w:r>
        <w:rPr>
          <w:rFonts w:hint="eastAsia" w:ascii="仿宋" w:hAnsi="仿宋" w:eastAsia="仿宋"/>
          <w:sz w:val="28"/>
          <w:szCs w:val="28"/>
        </w:rPr>
        <w:t>（以下简称</w:t>
      </w:r>
      <w:r>
        <w:rPr>
          <w:rFonts w:hint="eastAsia" w:ascii="仿宋" w:hAnsi="仿宋" w:eastAsia="仿宋"/>
          <w:sz w:val="28"/>
          <w:szCs w:val="28"/>
          <w:lang w:eastAsia="zh-CN"/>
        </w:rPr>
        <w:t>“</w:t>
      </w:r>
      <w:r>
        <w:rPr>
          <w:rFonts w:hint="eastAsia" w:ascii="仿宋" w:hAnsi="仿宋" w:eastAsia="仿宋"/>
          <w:sz w:val="28"/>
          <w:szCs w:val="28"/>
          <w:lang w:val="en-US" w:eastAsia="zh-CN"/>
        </w:rPr>
        <w:t>基金公司</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评估</w:t>
      </w:r>
      <w:r>
        <w:rPr>
          <w:rFonts w:hint="eastAsia" w:ascii="仿宋" w:hAnsi="仿宋" w:eastAsia="仿宋" w:cs="仿宋"/>
          <w:bCs/>
          <w:color w:val="000000" w:themeColor="text1"/>
          <w:sz w:val="28"/>
          <w:szCs w:val="28"/>
          <w14:textFill>
            <w14:solidFill>
              <w14:schemeClr w14:val="tx1"/>
            </w14:solidFill>
          </w14:textFill>
        </w:rPr>
        <w:t>服务机构，现邀请贵单位前来参与。</w:t>
      </w:r>
    </w:p>
    <w:p w14:paraId="5AFA63D6">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14:paraId="795177ED">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14:paraId="0E541E24">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基金公司因工作需要</w:t>
      </w:r>
      <w:r>
        <w:rPr>
          <w:rFonts w:hint="eastAsia" w:ascii="仿宋" w:hAnsi="仿宋" w:eastAsia="仿宋" w:cs="仿宋"/>
          <w:bCs/>
          <w:color w:val="000000" w:themeColor="text1"/>
          <w:sz w:val="28"/>
          <w:szCs w:val="28"/>
          <w14:textFill>
            <w14:solidFill>
              <w14:schemeClr w14:val="tx1"/>
            </w14:solidFill>
          </w14:textFill>
        </w:rPr>
        <w:t>拟采购一家</w:t>
      </w:r>
      <w:r>
        <w:rPr>
          <w:rFonts w:hint="eastAsia" w:ascii="仿宋" w:hAnsi="仿宋" w:eastAsia="仿宋" w:cs="仿宋"/>
          <w:bCs/>
          <w:color w:val="000000" w:themeColor="text1"/>
          <w:sz w:val="28"/>
          <w:szCs w:val="28"/>
          <w:lang w:val="en-US" w:eastAsia="zh-CN"/>
          <w14:textFill>
            <w14:solidFill>
              <w14:schemeClr w14:val="tx1"/>
            </w14:solidFill>
          </w14:textFill>
        </w:rPr>
        <w:t>评估机构</w:t>
      </w:r>
      <w:r>
        <w:rPr>
          <w:rFonts w:hint="eastAsia" w:ascii="仿宋" w:hAnsi="仿宋" w:eastAsia="仿宋" w:cs="仿宋"/>
          <w:bCs/>
          <w:color w:val="000000" w:themeColor="text1"/>
          <w:sz w:val="28"/>
          <w:szCs w:val="28"/>
          <w14:textFill>
            <w14:solidFill>
              <w14:schemeClr w14:val="tx1"/>
            </w14:solidFill>
          </w14:textFill>
        </w:rPr>
        <w:t>对</w:t>
      </w:r>
      <w:r>
        <w:rPr>
          <w:rFonts w:hint="eastAsia" w:ascii="仿宋" w:hAnsi="仿宋" w:eastAsia="仿宋" w:cs="仿宋"/>
          <w:bCs/>
          <w:color w:val="000000" w:themeColor="text1"/>
          <w:sz w:val="28"/>
          <w:szCs w:val="28"/>
          <w:lang w:val="en-US" w:eastAsia="zh-CN"/>
          <w14:textFill>
            <w14:solidFill>
              <w14:schemeClr w14:val="tx1"/>
            </w14:solidFill>
          </w14:textFill>
        </w:rPr>
        <w:t>参股企业贵阳筑农投资合伙企业（有限合伙）（以下简称“筑农公司”）价值进行评估</w:t>
      </w:r>
      <w:r>
        <w:rPr>
          <w:rFonts w:hint="eastAsia" w:ascii="仿宋" w:hAnsi="仿宋" w:eastAsia="仿宋" w:cs="仿宋"/>
          <w:bCs/>
          <w:color w:val="000000" w:themeColor="text1"/>
          <w:sz w:val="28"/>
          <w:szCs w:val="28"/>
          <w14:textFill>
            <w14:solidFill>
              <w14:schemeClr w14:val="tx1"/>
            </w14:solidFill>
          </w14:textFill>
        </w:rPr>
        <w:t>。</w:t>
      </w:r>
    </w:p>
    <w:p w14:paraId="16717120">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（二）服务内容</w:t>
      </w:r>
    </w:p>
    <w:p w14:paraId="3A297966">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对筑农公司开展评估工作，并按照采购方要求的基准日出具评估报告。</w:t>
      </w:r>
    </w:p>
    <w:p w14:paraId="562BB926">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14:paraId="606167B8">
      <w:pPr>
        <w:snapToGrid w:val="0"/>
        <w:spacing w:line="560" w:lineRule="exact"/>
        <w:ind w:firstLine="560" w:firstLineChars="200"/>
        <w:jc w:val="left"/>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w:t>
      </w:r>
      <w:r>
        <w:rPr>
          <w:rFonts w:hint="eastAsia" w:ascii="仿宋" w:hAnsi="仿宋" w:eastAsia="仿宋" w:cs="仿宋"/>
          <w:bCs/>
          <w:color w:val="000000" w:themeColor="text1"/>
          <w:sz w:val="28"/>
          <w:szCs w:val="28"/>
          <w:lang w:val="en-US" w:eastAsia="zh-CN"/>
          <w14:textFill>
            <w14:solidFill>
              <w14:schemeClr w14:val="tx1"/>
            </w14:solidFill>
          </w14:textFill>
        </w:rPr>
        <w:t>预算费用不高于42500</w:t>
      </w:r>
      <w:r>
        <w:rPr>
          <w:rFonts w:hint="eastAsia" w:ascii="仿宋" w:hAnsi="仿宋" w:eastAsia="仿宋" w:cs="仿宋"/>
          <w:bCs/>
          <w:color w:val="000000" w:themeColor="text1"/>
          <w:sz w:val="28"/>
          <w:szCs w:val="28"/>
          <w14:textFill>
            <w14:solidFill>
              <w14:schemeClr w14:val="tx1"/>
            </w14:solidFill>
          </w14:textFill>
        </w:rPr>
        <w:t>元。</w:t>
      </w:r>
    </w:p>
    <w:p w14:paraId="271CAB21">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14:paraId="4188B00F">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14:paraId="0EB91270">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hint="eastAsia" w:ascii="仿宋" w:hAnsi="仿宋" w:eastAsia="仿宋"/>
          <w:color w:val="auto"/>
          <w:sz w:val="28"/>
          <w:szCs w:val="28"/>
        </w:rPr>
        <w:t>具有</w:t>
      </w:r>
      <w:r>
        <w:rPr>
          <w:rFonts w:hint="eastAsia" w:ascii="仿宋" w:hAnsi="仿宋" w:eastAsia="仿宋"/>
          <w:color w:val="auto"/>
          <w:sz w:val="28"/>
          <w:szCs w:val="28"/>
          <w:lang w:val="en-US" w:eastAsia="zh-CN"/>
        </w:rPr>
        <w:t>股权评估</w:t>
      </w:r>
      <w:r>
        <w:rPr>
          <w:rFonts w:hint="eastAsia" w:ascii="仿宋" w:hAnsi="仿宋" w:eastAsia="仿宋"/>
          <w:color w:val="auto"/>
          <w:sz w:val="28"/>
          <w:szCs w:val="28"/>
        </w:rPr>
        <w:t>相关资质</w:t>
      </w:r>
      <w:r>
        <w:rPr>
          <w:rFonts w:hint="eastAsia" w:ascii="仿宋" w:hAnsi="仿宋" w:eastAsia="仿宋"/>
          <w:color w:val="auto"/>
          <w:sz w:val="28"/>
          <w:szCs w:val="28"/>
          <w:lang w:eastAsia="zh-CN"/>
        </w:rPr>
        <w:t>，近一年内完成国</w:t>
      </w:r>
      <w:r>
        <w:rPr>
          <w:rFonts w:hint="eastAsia" w:ascii="仿宋" w:hAnsi="仿宋" w:eastAsia="仿宋"/>
          <w:color w:val="auto"/>
          <w:sz w:val="28"/>
          <w:szCs w:val="28"/>
          <w:lang w:val="en-US" w:eastAsia="zh-CN"/>
        </w:rPr>
        <w:t>有企业资产评估</w:t>
      </w:r>
      <w:r>
        <w:rPr>
          <w:rFonts w:hint="eastAsia" w:ascii="仿宋" w:hAnsi="仿宋" w:eastAsia="仿宋"/>
          <w:color w:val="auto"/>
          <w:sz w:val="28"/>
          <w:szCs w:val="28"/>
          <w:lang w:eastAsia="zh-CN"/>
        </w:rPr>
        <w:t>项目</w:t>
      </w:r>
      <w:r>
        <w:rPr>
          <w:rFonts w:hint="eastAsia" w:ascii="仿宋" w:hAnsi="仿宋" w:eastAsia="仿宋"/>
          <w:color w:val="auto"/>
          <w:sz w:val="28"/>
          <w:szCs w:val="28"/>
          <w:lang w:val="en-US" w:eastAsia="zh-CN"/>
        </w:rPr>
        <w:t>不低于3个（含3个，提供相关业绩证明资料）</w:t>
      </w:r>
      <w:r>
        <w:rPr>
          <w:rFonts w:hint="eastAsia" w:ascii="仿宋" w:hAnsi="仿宋" w:eastAsia="仿宋"/>
          <w:color w:val="auto"/>
          <w:sz w:val="28"/>
          <w:szCs w:val="28"/>
        </w:rPr>
        <w:t>；独立承担民事责任的能力</w:t>
      </w:r>
      <w:r>
        <w:rPr>
          <w:rFonts w:hint="eastAsia" w:ascii="仿宋" w:hAnsi="仿宋" w:eastAsia="仿宋"/>
          <w:color w:val="auto"/>
          <w:sz w:val="28"/>
          <w:szCs w:val="28"/>
          <w:lang w:eastAsia="zh-CN"/>
        </w:rPr>
        <w:t>（</w:t>
      </w:r>
      <w:r>
        <w:rPr>
          <w:rFonts w:hint="eastAsia" w:ascii="仿宋" w:hAnsi="仿宋" w:eastAsia="仿宋"/>
          <w:color w:val="auto"/>
          <w:sz w:val="28"/>
          <w:szCs w:val="28"/>
        </w:rPr>
        <w:t>提供营业执照、</w:t>
      </w:r>
      <w:r>
        <w:rPr>
          <w:rFonts w:hint="eastAsia" w:ascii="仿宋" w:hAnsi="仿宋" w:eastAsia="仿宋"/>
          <w:color w:val="auto"/>
          <w:sz w:val="28"/>
          <w:szCs w:val="28"/>
          <w:lang w:val="en-US" w:eastAsia="zh-CN"/>
        </w:rPr>
        <w:t>执业证书</w:t>
      </w:r>
      <w:r>
        <w:rPr>
          <w:rFonts w:hint="eastAsia" w:ascii="仿宋" w:hAnsi="仿宋" w:eastAsia="仿宋"/>
          <w:color w:val="000000" w:themeColor="text1"/>
          <w:sz w:val="28"/>
          <w:szCs w:val="28"/>
          <w14:textFill>
            <w14:solidFill>
              <w14:schemeClr w14:val="tx1"/>
            </w14:solidFill>
          </w14:textFill>
        </w:rPr>
        <w:t>等证明文件</w:t>
      </w:r>
      <w:r>
        <w:rPr>
          <w:rFonts w:hint="eastAsia" w:ascii="仿宋" w:hAnsi="仿宋" w:eastAsia="仿宋"/>
          <w:color w:val="auto"/>
          <w:sz w:val="28"/>
          <w:szCs w:val="28"/>
          <w:lang w:eastAsia="zh-CN"/>
        </w:rPr>
        <w:t>）</w:t>
      </w:r>
      <w:r>
        <w:rPr>
          <w:rFonts w:hint="eastAsia" w:ascii="仿宋" w:hAnsi="仿宋" w:eastAsia="仿宋"/>
          <w:color w:val="000000" w:themeColor="text1"/>
          <w:sz w:val="28"/>
          <w:szCs w:val="28"/>
          <w14:textFill>
            <w14:solidFill>
              <w14:schemeClr w14:val="tx1"/>
            </w14:solidFill>
          </w14:textFill>
        </w:rPr>
        <w:t>。</w:t>
      </w:r>
    </w:p>
    <w:p w14:paraId="46A12DF3">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w:t>
      </w:r>
      <w:r>
        <w:rPr>
          <w:rFonts w:hint="eastAsia" w:ascii="仿宋" w:hAnsi="仿宋" w:eastAsia="仿宋"/>
          <w:color w:val="000000" w:themeColor="text1"/>
          <w:sz w:val="28"/>
          <w:szCs w:val="28"/>
          <w:lang w:val="en-US" w:eastAsia="zh-CN"/>
          <w14:textFill>
            <w14:solidFill>
              <w14:schemeClr w14:val="tx1"/>
            </w14:solidFill>
          </w14:textFill>
        </w:rPr>
        <w:t>前</w:t>
      </w:r>
      <w:r>
        <w:rPr>
          <w:rFonts w:hint="eastAsia" w:ascii="仿宋" w:hAnsi="仿宋" w:eastAsia="仿宋"/>
          <w:color w:val="000000" w:themeColor="text1"/>
          <w:sz w:val="28"/>
          <w:szCs w:val="28"/>
          <w14:textFill>
            <w14:solidFill>
              <w14:schemeClr w14:val="tx1"/>
            </w14:solidFill>
          </w14:textFill>
        </w:rPr>
        <w:t>三年，在经营活动中没有违法违规记录</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质量管理水平合格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提供国家企业信用信息公示系统查询报告</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w:t>
      </w:r>
    </w:p>
    <w:p w14:paraId="2CBCC8E1">
      <w:pPr>
        <w:snapToGrid w:val="0"/>
        <w:spacing w:line="560" w:lineRule="exact"/>
        <w:ind w:firstLine="601"/>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（三）拟投入本项目的项目负责人具有</w:t>
      </w:r>
      <w:r>
        <w:rPr>
          <w:rFonts w:hint="eastAsia" w:ascii="仿宋" w:hAnsi="仿宋" w:eastAsia="仿宋" w:cs="仿宋"/>
          <w:color w:val="000000" w:themeColor="text1"/>
          <w:sz w:val="28"/>
          <w:szCs w:val="28"/>
          <w:highlight w:val="none"/>
          <w:lang w:val="en-US" w:eastAsia="zh-CN"/>
          <w14:textFill>
            <w14:solidFill>
              <w14:schemeClr w14:val="tx1"/>
            </w14:solidFill>
          </w14:textFill>
        </w:rPr>
        <w:t>资产评估师</w:t>
      </w:r>
      <w:r>
        <w:rPr>
          <w:rFonts w:hint="eastAsia" w:ascii="仿宋" w:hAnsi="仿宋" w:eastAsia="仿宋" w:cs="仿宋"/>
          <w:color w:val="000000" w:themeColor="text1"/>
          <w:sz w:val="28"/>
          <w:szCs w:val="28"/>
          <w:highlight w:val="none"/>
          <w14:textFill>
            <w14:solidFill>
              <w14:schemeClr w14:val="tx1"/>
            </w14:solidFill>
          </w14:textFill>
        </w:rPr>
        <w:t>证书</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并且</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w:t>
      </w:r>
      <w:r>
        <w:rPr>
          <w:rFonts w:hint="eastAsia" w:ascii="仿宋" w:hAnsi="仿宋" w:eastAsia="仿宋" w:cs="仿宋"/>
          <w:color w:val="000000" w:themeColor="text1"/>
          <w:sz w:val="28"/>
          <w:szCs w:val="28"/>
          <w:highlight w:val="none"/>
          <w14:textFill>
            <w14:solidFill>
              <w14:schemeClr w14:val="tx1"/>
            </w14:solidFill>
          </w14:textFill>
        </w:rPr>
        <w:t>须到被</w:t>
      </w:r>
      <w:r>
        <w:rPr>
          <w:rFonts w:hint="eastAsia" w:ascii="仿宋" w:hAnsi="仿宋" w:eastAsia="仿宋" w:cs="仿宋"/>
          <w:color w:val="000000" w:themeColor="text1"/>
          <w:sz w:val="28"/>
          <w:szCs w:val="28"/>
          <w:highlight w:val="none"/>
          <w:lang w:val="en-US" w:eastAsia="zh-CN"/>
          <w14:textFill>
            <w14:solidFill>
              <w14:schemeClr w14:val="tx1"/>
            </w14:solidFill>
          </w14:textFill>
        </w:rPr>
        <w:t>评估</w:t>
      </w:r>
      <w:r>
        <w:rPr>
          <w:rFonts w:hint="eastAsia" w:ascii="仿宋" w:hAnsi="仿宋" w:eastAsia="仿宋" w:cs="仿宋"/>
          <w:color w:val="000000" w:themeColor="text1"/>
          <w:sz w:val="28"/>
          <w:szCs w:val="28"/>
          <w:highlight w:val="none"/>
          <w14:textFill>
            <w14:solidFill>
              <w14:schemeClr w14:val="tx1"/>
            </w14:solidFill>
          </w14:textFill>
        </w:rPr>
        <w:t>单位开展现场</w:t>
      </w:r>
      <w:r>
        <w:rPr>
          <w:rFonts w:hint="eastAsia" w:ascii="仿宋" w:hAnsi="仿宋" w:eastAsia="仿宋" w:cs="仿宋"/>
          <w:color w:val="000000" w:themeColor="text1"/>
          <w:sz w:val="28"/>
          <w:szCs w:val="28"/>
          <w:highlight w:val="none"/>
          <w:lang w:val="en-US" w:eastAsia="zh-CN"/>
          <w14:textFill>
            <w14:solidFill>
              <w14:schemeClr w14:val="tx1"/>
            </w14:solidFill>
          </w14:textFill>
        </w:rPr>
        <w:t>评估</w:t>
      </w:r>
      <w:r>
        <w:rPr>
          <w:rFonts w:hint="eastAsia" w:ascii="仿宋" w:hAnsi="仿宋" w:eastAsia="仿宋" w:cs="仿宋"/>
          <w:color w:val="000000" w:themeColor="text1"/>
          <w:sz w:val="28"/>
          <w:szCs w:val="28"/>
          <w:highlight w:val="none"/>
          <w14:textFill>
            <w14:solidFill>
              <w14:schemeClr w14:val="tx1"/>
            </w14:solidFill>
          </w14:textFill>
        </w:rPr>
        <w:t>工作。</w:t>
      </w:r>
    </w:p>
    <w:p w14:paraId="14555EAB">
      <w:pPr>
        <w:snapToGrid w:val="0"/>
        <w:spacing w:line="560" w:lineRule="exact"/>
        <w:ind w:firstLine="601"/>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报价提供的纸质资料均需要加盖公章。</w:t>
      </w:r>
    </w:p>
    <w:p w14:paraId="2994142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14:paraId="5C525C4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本项目询价文件通过贵阳市农业农垦投资发展集团有限公司门户网站（https://www.gyntjt.com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发布，报价单位在收到本询价文件后，及时反馈是否响应报价</w:t>
      </w:r>
      <w:r>
        <w:rPr>
          <w:rFonts w:hint="eastAsia" w:ascii="仿宋" w:hAnsi="仿宋" w:eastAsia="仿宋"/>
          <w:color w:val="000000" w:themeColor="text1"/>
          <w:sz w:val="28"/>
          <w:szCs w:val="28"/>
          <w:highlight w:val="none"/>
          <w14:textFill>
            <w14:solidFill>
              <w14:schemeClr w14:val="tx1"/>
            </w14:solidFill>
          </w14:textFill>
        </w:rPr>
        <w:t>（报名反馈至</w:t>
      </w:r>
      <w:r>
        <w:rPr>
          <w:rFonts w:hint="eastAsia" w:ascii="仿宋" w:hAnsi="仿宋" w:eastAsia="仿宋"/>
          <w:color w:val="000000" w:themeColor="text1"/>
          <w:sz w:val="28"/>
          <w:szCs w:val="28"/>
          <w:lang w:val="en-US" w:eastAsia="zh-CN"/>
          <w14:textFill>
            <w14:solidFill>
              <w14:schemeClr w14:val="tx1"/>
            </w14:solidFill>
          </w14:textFill>
        </w:rPr>
        <w:t>260460770</w:t>
      </w:r>
      <w:r>
        <w:rPr>
          <w:rFonts w:hint="eastAsia" w:ascii="仿宋" w:hAnsi="仿宋" w:eastAsia="仿宋"/>
          <w:color w:val="000000" w:themeColor="text1"/>
          <w:sz w:val="28"/>
          <w:szCs w:val="28"/>
          <w14:textFill>
            <w14:solidFill>
              <w14:schemeClr w14:val="tx1"/>
            </w14:solidFill>
          </w14:textFill>
        </w:rPr>
        <w:t>@qq.com</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报价文件</w:t>
      </w:r>
      <w:r>
        <w:rPr>
          <w:rFonts w:hint="eastAsia" w:ascii="仿宋" w:hAnsi="仿宋" w:eastAsia="仿宋"/>
          <w:color w:val="000000" w:themeColor="text1"/>
          <w:sz w:val="28"/>
          <w:szCs w:val="28"/>
          <w:lang w:val="en-US" w:eastAsia="zh-CN"/>
          <w14:textFill>
            <w14:solidFill>
              <w14:schemeClr w14:val="tx1"/>
            </w14:solidFill>
          </w14:textFill>
        </w:rPr>
        <w:t>通过</w:t>
      </w:r>
      <w:r>
        <w:rPr>
          <w:rFonts w:hint="eastAsia" w:ascii="仿宋" w:hAnsi="仿宋" w:eastAsia="仿宋"/>
          <w:color w:val="000000" w:themeColor="text1"/>
          <w:sz w:val="28"/>
          <w:szCs w:val="28"/>
          <w:lang w:eastAsia="zh-CN"/>
          <w14:textFill>
            <w14:solidFill>
              <w14:schemeClr w14:val="tx1"/>
            </w14:solidFill>
          </w14:textFill>
        </w:rPr>
        <w:t>现场投递</w:t>
      </w:r>
      <w:r>
        <w:rPr>
          <w:rFonts w:hint="eastAsia" w:ascii="仿宋" w:hAnsi="仿宋" w:eastAsia="仿宋"/>
          <w:color w:val="000000" w:themeColor="text1"/>
          <w:sz w:val="28"/>
          <w:szCs w:val="28"/>
          <w14:textFill>
            <w14:solidFill>
              <w14:schemeClr w14:val="tx1"/>
            </w14:solidFill>
          </w14:textFill>
        </w:rPr>
        <w:t>。</w:t>
      </w:r>
    </w:p>
    <w:p w14:paraId="343D2922">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14:paraId="3CA71195">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sz w:val="28"/>
          <w:szCs w:val="28"/>
          <w:lang w:val="en-US" w:eastAsia="zh-CN"/>
        </w:rPr>
        <w:t>贵州金农私募基金管理有限公司</w:t>
      </w:r>
    </w:p>
    <w:p w14:paraId="4AA54EB9">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报价文件递交时间：</w:t>
      </w:r>
      <w:r>
        <w:rPr>
          <w:rFonts w:hint="eastAsia" w:ascii="仿宋" w:hAnsi="仿宋" w:eastAsia="仿宋"/>
          <w:color w:val="000000" w:themeColor="text1"/>
          <w:sz w:val="28"/>
          <w:szCs w:val="28"/>
          <w:highlight w:val="none"/>
          <w:lang w:eastAsia="zh-CN"/>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lang w:eastAsia="zh-CN"/>
          <w14:textFill>
            <w14:solidFill>
              <w14:schemeClr w14:val="tx1"/>
            </w14:solidFill>
          </w14:textFill>
        </w:rPr>
        <w:t>日9:</w:t>
      </w:r>
      <w:r>
        <w:rPr>
          <w:rFonts w:hint="eastAsia" w:ascii="仿宋" w:hAnsi="仿宋" w:eastAsia="仿宋"/>
          <w:color w:val="000000" w:themeColor="text1"/>
          <w:sz w:val="28"/>
          <w:szCs w:val="28"/>
          <w:highlight w:val="none"/>
          <w:lang w:val="en-US" w:eastAsia="zh-CN"/>
          <w14:textFill>
            <w14:solidFill>
              <w14:schemeClr w14:val="tx1"/>
            </w14:solidFill>
          </w14:textFill>
        </w:rPr>
        <w:t>0</w:t>
      </w:r>
      <w:r>
        <w:rPr>
          <w:rFonts w:hint="eastAsia" w:ascii="仿宋" w:hAnsi="仿宋" w:eastAsia="仿宋"/>
          <w:color w:val="000000" w:themeColor="text1"/>
          <w:sz w:val="28"/>
          <w:szCs w:val="28"/>
          <w:highlight w:val="none"/>
          <w:lang w:eastAsia="zh-CN"/>
          <w14:textFill>
            <w14:solidFill>
              <w14:schemeClr w14:val="tx1"/>
            </w14:solidFill>
          </w14:textFill>
        </w:rPr>
        <w:t>0—202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lang w:eastAsia="zh-CN"/>
          <w14:textFill>
            <w14:solidFill>
              <w14:schemeClr w14:val="tx1"/>
            </w14:solidFill>
          </w14:textFill>
        </w:rPr>
        <w:t>日1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00</w:t>
      </w:r>
      <w:r>
        <w:rPr>
          <w:rFonts w:hint="eastAsia" w:ascii="仿宋" w:hAnsi="仿宋" w:eastAsia="仿宋"/>
          <w:color w:val="000000" w:themeColor="text1"/>
          <w:sz w:val="28"/>
          <w:szCs w:val="28"/>
          <w14:textFill>
            <w14:solidFill>
              <w14:schemeClr w14:val="tx1"/>
            </w14:solidFill>
          </w14:textFill>
        </w:rPr>
        <w:t>（在规定时间内未递交报价文件者视为主动弃权）。</w:t>
      </w:r>
    </w:p>
    <w:p w14:paraId="6B2B0FE5">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五、联系方式</w:t>
      </w:r>
    </w:p>
    <w:p w14:paraId="65651F1E">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sz w:val="28"/>
          <w:szCs w:val="28"/>
          <w:lang w:val="en-US" w:eastAsia="zh-CN"/>
        </w:rPr>
        <w:t>贵州金农私募基金管理有限公司</w:t>
      </w:r>
    </w:p>
    <w:p w14:paraId="396B0A51">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sz w:val="28"/>
          <w:szCs w:val="28"/>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（贵阳市观山湖区金融城</w:t>
      </w:r>
      <w:r>
        <w:rPr>
          <w:rFonts w:hint="eastAsia" w:ascii="仿宋" w:hAnsi="仿宋" w:eastAsia="仿宋"/>
          <w:color w:val="000000" w:themeColor="text1"/>
          <w:sz w:val="28"/>
          <w:szCs w:val="28"/>
          <w:lang w:val="en-US" w:eastAsia="zh-CN"/>
          <w14:textFill>
            <w14:solidFill>
              <w14:schemeClr w14:val="tx1"/>
            </w14:solidFill>
          </w14:textFill>
        </w:rPr>
        <w:t>华夏银行大厦16楼</w:t>
      </w:r>
      <w:r>
        <w:rPr>
          <w:rFonts w:hint="eastAsia" w:ascii="仿宋" w:hAnsi="仿宋" w:eastAsia="仿宋"/>
          <w:color w:val="000000" w:themeColor="text1"/>
          <w:sz w:val="28"/>
          <w:szCs w:val="28"/>
          <w14:textFill>
            <w14:solidFill>
              <w14:schemeClr w14:val="tx1"/>
            </w14:solidFill>
          </w14:textFill>
        </w:rPr>
        <w:t>）</w:t>
      </w:r>
    </w:p>
    <w:p w14:paraId="60E63A66">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庞智鹏</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18786667994</w:t>
      </w:r>
    </w:p>
    <w:p w14:paraId="48D1D22A">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641421F7">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0E7F41C7">
      <w:pPr>
        <w:pStyle w:val="3"/>
        <w:spacing w:line="380" w:lineRule="exact"/>
        <w:ind w:firstLine="560" w:firstLineChars="200"/>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贵州金农私募基金管理有限公司</w:t>
      </w:r>
    </w:p>
    <w:p w14:paraId="471A081E">
      <w:pPr>
        <w:pStyle w:val="3"/>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二</w:t>
      </w:r>
      <w:r>
        <w:rPr>
          <w:rFonts w:hint="eastAsia" w:ascii="仿宋" w:hAnsi="仿宋" w:eastAsia="仿宋"/>
          <w:color w:val="000000" w:themeColor="text1"/>
          <w:sz w:val="28"/>
          <w:szCs w:val="28"/>
          <w:highlight w:val="none"/>
          <w:lang w:val="en-US" w:eastAsia="zh-CN"/>
          <w14:textFill>
            <w14:solidFill>
              <w14:schemeClr w14:val="tx1"/>
            </w14:solidFill>
          </w14:textFill>
        </w:rPr>
        <w:t>〇</w:t>
      </w:r>
      <w:r>
        <w:rPr>
          <w:rFonts w:hint="eastAsia" w:ascii="仿宋" w:hAnsi="仿宋" w:eastAsia="仿宋"/>
          <w:color w:val="000000" w:themeColor="text1"/>
          <w:sz w:val="28"/>
          <w:szCs w:val="28"/>
          <w:highlight w:val="none"/>
          <w14:textFill>
            <w14:solidFill>
              <w14:schemeClr w14:val="tx1"/>
            </w14:solidFill>
          </w14:textFill>
        </w:rPr>
        <w:t>二</w:t>
      </w:r>
      <w:r>
        <w:rPr>
          <w:rFonts w:hint="eastAsia" w:ascii="仿宋" w:hAnsi="仿宋" w:eastAsia="仿宋"/>
          <w:color w:val="000000" w:themeColor="text1"/>
          <w:sz w:val="28"/>
          <w:szCs w:val="28"/>
          <w:highlight w:val="none"/>
          <w:lang w:val="en-US" w:eastAsia="zh-CN"/>
          <w14:textFill>
            <w14:solidFill>
              <w14:schemeClr w14:val="tx1"/>
            </w14:solidFill>
          </w14:textFill>
        </w:rPr>
        <w:t>六</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十二</w:t>
      </w:r>
      <w:r>
        <w:rPr>
          <w:rFonts w:hint="eastAsia" w:ascii="仿宋" w:hAnsi="仿宋" w:eastAsia="仿宋"/>
          <w:color w:val="000000" w:themeColor="text1"/>
          <w:sz w:val="28"/>
          <w:szCs w:val="28"/>
          <w:highlight w:val="none"/>
          <w14:textFill>
            <w14:solidFill>
              <w14:schemeClr w14:val="tx1"/>
            </w14:solidFill>
          </w14:textFill>
        </w:rPr>
        <w:t>日</w:t>
      </w:r>
      <w:r>
        <w:rPr>
          <w:rFonts w:ascii="仿宋" w:hAnsi="仿宋" w:eastAsia="仿宋"/>
          <w:color w:val="000000" w:themeColor="text1"/>
          <w:sz w:val="28"/>
          <w:szCs w:val="28"/>
          <w:highlight w:val="yellow"/>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报价须知</w:t>
      </w:r>
    </w:p>
    <w:p w14:paraId="5F2E817B">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3EB8BF1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适用范围</w:t>
      </w:r>
    </w:p>
    <w:p w14:paraId="42A6E8A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745256F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定义</w:t>
      </w:r>
    </w:p>
    <w:p w14:paraId="640D32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7CFAE1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086A79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4A69E5F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3EBF281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合格的服务</w:t>
      </w:r>
    </w:p>
    <w:p w14:paraId="2964C19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w:t>
      </w:r>
      <w:r>
        <w:rPr>
          <w:rFonts w:hint="eastAsia" w:ascii="仿宋" w:hAnsi="仿宋" w:eastAsia="仿宋"/>
          <w:color w:val="000000" w:themeColor="text1"/>
          <w:sz w:val="28"/>
          <w:szCs w:val="28"/>
          <w:lang w:eastAsia="zh-CN"/>
          <w14:textFill>
            <w14:solidFill>
              <w14:schemeClr w14:val="tx1"/>
            </w14:solidFill>
          </w14:textFill>
        </w:rPr>
        <w:t>组成</w:t>
      </w:r>
      <w:r>
        <w:rPr>
          <w:rFonts w:hint="eastAsia" w:ascii="仿宋" w:hAnsi="仿宋" w:eastAsia="仿宋"/>
          <w:color w:val="000000" w:themeColor="text1"/>
          <w:sz w:val="28"/>
          <w:szCs w:val="28"/>
          <w14:textFill>
            <w14:solidFill>
              <w14:schemeClr w14:val="tx1"/>
            </w14:solidFill>
          </w14:textFill>
        </w:rPr>
        <w:t>员具备与项目相适应</w:t>
      </w:r>
      <w:r>
        <w:rPr>
          <w:rFonts w:hint="eastAsia" w:ascii="仿宋" w:hAnsi="仿宋" w:eastAsia="仿宋"/>
          <w:color w:val="000000" w:themeColor="text1"/>
          <w:sz w:val="28"/>
          <w:szCs w:val="28"/>
          <w:lang w:eastAsia="zh-CN"/>
          <w14:textFill>
            <w14:solidFill>
              <w14:schemeClr w14:val="tx1"/>
            </w14:solidFill>
          </w14:textFill>
        </w:rPr>
        <w:t>的</w:t>
      </w:r>
      <w:r>
        <w:rPr>
          <w:rFonts w:hint="eastAsia" w:ascii="仿宋" w:hAnsi="仿宋" w:eastAsia="仿宋"/>
          <w:color w:val="000000" w:themeColor="text1"/>
          <w:sz w:val="28"/>
          <w:szCs w:val="28"/>
          <w14:textFill>
            <w14:solidFill>
              <w14:schemeClr w14:val="tx1"/>
            </w14:solidFill>
          </w14:textFill>
        </w:rPr>
        <w:t>胜任能力，并按采购人要求，及时提供符合行业标准的服务。</w:t>
      </w:r>
    </w:p>
    <w:p w14:paraId="5E5562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报价费用</w:t>
      </w:r>
    </w:p>
    <w:p w14:paraId="4240340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报价人应承担所有准备和参加报价有关的费用。不论报价的结果如何，采购人均无义务和责任承担这些费用。</w:t>
      </w:r>
    </w:p>
    <w:p w14:paraId="169EB504">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6DB37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询价文件的构成</w:t>
      </w:r>
    </w:p>
    <w:p w14:paraId="0A71F0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33D2BF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6266BD0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2CCB9B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3913DF0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13C02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76392F4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5E09C542">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4A781B7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报价文件编制基本要求</w:t>
      </w:r>
    </w:p>
    <w:p w14:paraId="7E0CED7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50270E4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353D715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0D24B71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0CA90F9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报价文件的组成</w:t>
      </w:r>
    </w:p>
    <w:p w14:paraId="7BE33EF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附件1</w:t>
      </w:r>
      <w:r>
        <w:rPr>
          <w:rFonts w:hint="eastAsia" w:ascii="仿宋" w:hAnsi="仿宋" w:eastAsia="仿宋"/>
          <w:color w:val="000000" w:themeColor="text1"/>
          <w:sz w:val="28"/>
          <w:szCs w:val="28"/>
          <w:lang w:eastAsia="zh-CN"/>
          <w14:textFill>
            <w14:solidFill>
              <w14:schemeClr w14:val="tx1"/>
            </w14:solidFill>
          </w14:textFill>
        </w:rPr>
        <w:t>）</w:t>
      </w:r>
    </w:p>
    <w:p w14:paraId="393A500C">
      <w:pPr>
        <w:snapToGrid w:val="0"/>
        <w:spacing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2.2相关业绩证明资料</w:t>
      </w:r>
    </w:p>
    <w:p w14:paraId="6B110CE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询价响应承诺函</w:t>
      </w:r>
      <w:r>
        <w:rPr>
          <w:rFonts w:hint="eastAsia" w:ascii="仿宋" w:hAnsi="仿宋" w:eastAsia="仿宋"/>
          <w:color w:val="000000" w:themeColor="text1"/>
          <w:sz w:val="28"/>
          <w:szCs w:val="28"/>
          <w:lang w:val="en-US" w:eastAsia="zh-CN"/>
          <w14:textFill>
            <w14:solidFill>
              <w14:schemeClr w14:val="tx1"/>
            </w14:solidFill>
          </w14:textFill>
        </w:rPr>
        <w:t>及国家企业信用信息公示系统查询报告</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附件2</w:t>
      </w:r>
      <w:r>
        <w:rPr>
          <w:rFonts w:hint="eastAsia" w:ascii="仿宋" w:hAnsi="仿宋" w:eastAsia="仿宋"/>
          <w:color w:val="000000" w:themeColor="text1"/>
          <w:sz w:val="28"/>
          <w:szCs w:val="28"/>
          <w:lang w:eastAsia="zh-CN"/>
          <w14:textFill>
            <w14:solidFill>
              <w14:schemeClr w14:val="tx1"/>
            </w14:solidFill>
          </w14:textFill>
        </w:rPr>
        <w:t>）</w:t>
      </w:r>
    </w:p>
    <w:p w14:paraId="174F676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拟派项目专业人员情况；</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附件3</w:t>
      </w:r>
      <w:r>
        <w:rPr>
          <w:rFonts w:hint="eastAsia" w:ascii="仿宋" w:hAnsi="仿宋" w:eastAsia="仿宋"/>
          <w:color w:val="000000" w:themeColor="text1"/>
          <w:sz w:val="28"/>
          <w:szCs w:val="28"/>
          <w:lang w:eastAsia="zh-CN"/>
          <w14:textFill>
            <w14:solidFill>
              <w14:schemeClr w14:val="tx1"/>
            </w14:solidFill>
          </w14:textFill>
        </w:rPr>
        <w:t>）</w:t>
      </w:r>
    </w:p>
    <w:p w14:paraId="190CC151">
      <w:pPr>
        <w:snapToGrid w:val="0"/>
        <w:spacing w:line="600" w:lineRule="exact"/>
        <w:ind w:firstLine="600"/>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w:t>
      </w:r>
      <w:r>
        <w:rPr>
          <w:rFonts w:hint="eastAsia" w:ascii="仿宋" w:hAnsi="仿宋" w:eastAsia="仿宋"/>
          <w:color w:val="000000" w:themeColor="text1"/>
          <w:sz w:val="28"/>
          <w:szCs w:val="28"/>
          <w14:textFill>
            <w14:solidFill>
              <w14:schemeClr w14:val="tx1"/>
            </w14:solidFill>
          </w14:textFill>
        </w:rPr>
        <w:t>报价人营业执照及执业资格证书</w:t>
      </w:r>
      <w:r>
        <w:rPr>
          <w:rFonts w:hint="eastAsia" w:ascii="仿宋" w:hAnsi="仿宋" w:eastAsia="仿宋"/>
          <w:color w:val="000000" w:themeColor="text1"/>
          <w:sz w:val="28"/>
          <w:szCs w:val="28"/>
          <w:lang w:eastAsia="zh-CN"/>
          <w14:textFill>
            <w14:solidFill>
              <w14:schemeClr w14:val="tx1"/>
            </w14:solidFill>
          </w14:textFill>
        </w:rPr>
        <w:t>。</w:t>
      </w:r>
    </w:p>
    <w:p w14:paraId="6A44ACED">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2B8F42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8D15309">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7765C5E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报价文件的份数和封装</w:t>
      </w:r>
    </w:p>
    <w:p w14:paraId="5D96E5B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78C77AC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5CC726E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5614817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2）报价人全称；</w:t>
      </w:r>
    </w:p>
    <w:p w14:paraId="4F979F4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135FAB2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报价文件的递交</w:t>
      </w:r>
    </w:p>
    <w:p w14:paraId="5E038CE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2CD9C9B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3A0AFB5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2782FE5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采购工作组成员根据各单位的报价进行比较，按照质量和服务满足询价文件要求且报价最低的成为成交供应商。</w:t>
      </w:r>
    </w:p>
    <w:p w14:paraId="62B8F5B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7BC014CC">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65E99F9F">
      <w:pPr>
        <w:snapToGrid w:val="0"/>
        <w:spacing w:line="6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4491C077">
      <w:pPr>
        <w:keepNext w:val="0"/>
        <w:keepLines w:val="0"/>
        <w:pageBreakBefore w:val="0"/>
        <w:widowControl w:val="0"/>
        <w:kinsoku/>
        <w:wordWrap/>
        <w:overflowPunct/>
        <w:topLinePunct w:val="0"/>
        <w:autoSpaceDE/>
        <w:autoSpaceDN/>
        <w:bidi w:val="0"/>
        <w:adjustRightInd/>
        <w:snapToGrid w:val="0"/>
        <w:spacing w:line="560" w:lineRule="exact"/>
        <w:ind w:firstLine="600"/>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7C2A062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仿宋" w:hAnsi="仿宋" w:eastAsia="仿宋"/>
          <w:color w:val="000000" w:themeColor="text1"/>
          <w:sz w:val="28"/>
          <w:szCs w:val="28"/>
          <w:u w:val="singl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color w:val="000000" w:themeColor="text1"/>
          <w:sz w:val="28"/>
          <w:szCs w:val="28"/>
          <w:u w:val="single"/>
          <w:lang w:val="en-US" w:eastAsia="zh-CN"/>
          <w14:textFill>
            <w14:solidFill>
              <w14:schemeClr w14:val="tx1"/>
            </w14:solidFill>
          </w14:textFill>
        </w:rPr>
        <w:t>贵州金农私募基金管理有限公司</w:t>
      </w:r>
    </w:p>
    <w:p w14:paraId="7D22E98C">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w:t>
      </w:r>
      <w:r>
        <w:rPr>
          <w:rFonts w:hint="eastAsia" w:ascii="仿宋" w:hAnsi="仿宋" w:eastAsia="仿宋"/>
          <w:color w:val="000000" w:themeColor="text1"/>
          <w:sz w:val="28"/>
          <w:szCs w:val="28"/>
          <w:lang w:eastAsia="zh-CN"/>
          <w14:textFill>
            <w14:solidFill>
              <w14:schemeClr w14:val="tx1"/>
            </w14:solidFill>
          </w14:textFill>
        </w:rPr>
        <w:t>法律法规</w:t>
      </w:r>
      <w:r>
        <w:rPr>
          <w:rFonts w:hint="eastAsia" w:ascii="仿宋" w:hAnsi="仿宋" w:eastAsia="仿宋"/>
          <w:color w:val="000000" w:themeColor="text1"/>
          <w:sz w:val="28"/>
          <w:szCs w:val="28"/>
          <w14:textFill>
            <w14:solidFill>
              <w14:schemeClr w14:val="tx1"/>
            </w14:solidFill>
          </w14:textFill>
        </w:rPr>
        <w:t>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关于采购服务机构</w:t>
      </w:r>
      <w:r>
        <w:rPr>
          <w:rFonts w:hint="eastAsia" w:ascii="仿宋" w:hAnsi="仿宋" w:eastAsia="仿宋"/>
          <w:color w:val="000000" w:themeColor="text1"/>
          <w:sz w:val="28"/>
          <w:szCs w:val="28"/>
          <w:lang w:val="en-US" w:eastAsia="zh-CN"/>
          <w14:textFill>
            <w14:solidFill>
              <w14:schemeClr w14:val="tx1"/>
            </w14:solidFill>
          </w14:textFill>
        </w:rPr>
        <w:t>评估贵阳筑农投资合伙企业（有限合伙）股权价值</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w:t>
      </w:r>
      <w:r>
        <w:rPr>
          <w:rFonts w:hint="eastAsia" w:ascii="仿宋" w:hAnsi="仿宋" w:eastAsia="仿宋"/>
          <w:sz w:val="28"/>
          <w:szCs w:val="28"/>
          <w:lang w:eastAsia="zh-CN"/>
        </w:rPr>
        <w:t>以</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关于采购服务机构</w:t>
      </w:r>
      <w:r>
        <w:rPr>
          <w:rFonts w:hint="eastAsia" w:ascii="仿宋" w:hAnsi="仿宋" w:eastAsia="仿宋"/>
          <w:color w:val="000000" w:themeColor="text1"/>
          <w:sz w:val="28"/>
          <w:szCs w:val="28"/>
          <w:lang w:val="en-US" w:eastAsia="zh-CN"/>
          <w14:textFill>
            <w14:solidFill>
              <w14:schemeClr w14:val="tx1"/>
            </w14:solidFill>
          </w14:textFill>
        </w:rPr>
        <w:t>评估贵阳筑农投资合伙企业（有限合伙）股权价值</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24FE7A6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6636C005">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4246F04B">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14:paraId="2972DDC7">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511705CC">
      <w:pPr>
        <w:keepNext w:val="0"/>
        <w:keepLines w:val="0"/>
        <w:pageBreakBefore w:val="0"/>
        <w:widowControl w:val="0"/>
        <w:kinsoku/>
        <w:wordWrap/>
        <w:overflowPunct/>
        <w:topLinePunct w:val="0"/>
        <w:autoSpaceDE/>
        <w:autoSpaceDN/>
        <w:bidi w:val="0"/>
        <w:adjustRightInd/>
        <w:snapToGrid w:val="0"/>
        <w:spacing w:line="560" w:lineRule="exact"/>
        <w:ind w:firstLine="6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68FD9FC6">
      <w:pPr>
        <w:keepNext w:val="0"/>
        <w:keepLines w:val="0"/>
        <w:pageBreakBefore w:val="0"/>
        <w:widowControl w:val="0"/>
        <w:kinsoku/>
        <w:wordWrap/>
        <w:overflowPunct/>
        <w:topLinePunct w:val="0"/>
        <w:autoSpaceDE/>
        <w:autoSpaceDN/>
        <w:bidi w:val="0"/>
        <w:adjustRightInd/>
        <w:snapToGrid w:val="0"/>
        <w:spacing w:line="560" w:lineRule="exact"/>
        <w:ind w:right="480" w:firstLine="6440" w:firstLineChars="2300"/>
        <w:jc w:val="right"/>
        <w:textAlignment w:val="auto"/>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347E5F6F">
      <w:pPr>
        <w:snapToGrid w:val="0"/>
        <w:spacing w:line="600" w:lineRule="exact"/>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20D8E307">
      <w:pPr>
        <w:keepNext w:val="0"/>
        <w:keepLines w:val="0"/>
        <w:pageBreakBefore w:val="0"/>
        <w:widowControl w:val="0"/>
        <w:kinsoku/>
        <w:overflowPunct/>
        <w:topLinePunct w:val="0"/>
        <w:autoSpaceDE/>
        <w:autoSpaceDN/>
        <w:bidi w:val="0"/>
        <w:adjustRightInd/>
        <w:snapToGrid w:val="0"/>
        <w:spacing w:line="540" w:lineRule="exact"/>
        <w:ind w:firstLine="600"/>
        <w:jc w:val="center"/>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13F8907E">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方</w:t>
      </w:r>
      <w:r>
        <w:rPr>
          <w:rFonts w:hint="eastAsia" w:ascii="仿宋" w:hAnsi="仿宋" w:eastAsia="仿宋"/>
          <w:color w:val="000000" w:themeColor="text1"/>
          <w:sz w:val="28"/>
          <w:szCs w:val="28"/>
          <w:lang w:eastAsia="zh-CN"/>
          <w14:textFill>
            <w14:solidFill>
              <w14:schemeClr w14:val="tx1"/>
            </w14:solidFill>
          </w14:textFill>
        </w:rPr>
        <w:t>郑重</w:t>
      </w:r>
      <w:r>
        <w:rPr>
          <w:rFonts w:hint="eastAsia" w:ascii="仿宋" w:hAnsi="仿宋" w:eastAsia="仿宋"/>
          <w:color w:val="000000" w:themeColor="text1"/>
          <w:sz w:val="28"/>
          <w:szCs w:val="28"/>
          <w14:textFill>
            <w14:solidFill>
              <w14:schemeClr w14:val="tx1"/>
            </w14:solidFill>
          </w14:textFill>
        </w:rPr>
        <w:t>作出以下承诺 ：</w:t>
      </w:r>
    </w:p>
    <w:p w14:paraId="23A4D711">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044F78D4">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2719C0A2">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65D2048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66C39FF9">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2EA37E1B">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41902F93">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4705C250">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5A85240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bookmarkStart w:id="0" w:name="D10资格标投标承诺函"/>
      <w:bookmarkEnd w:id="0"/>
      <w:bookmarkStart w:id="1" w:name="D8投标承诺函"/>
      <w:r>
        <w:rPr>
          <w:rFonts w:hint="eastAsia" w:ascii="仿宋" w:hAnsi="仿宋" w:eastAsia="仿宋"/>
          <w:color w:val="000000" w:themeColor="text1"/>
          <w:sz w:val="28"/>
          <w:szCs w:val="28"/>
          <w14:textFill>
            <w14:solidFill>
              <w14:schemeClr w14:val="tx1"/>
            </w14:solidFill>
          </w14:textFill>
        </w:rPr>
        <w:t>三、其他承诺</w:t>
      </w:r>
    </w:p>
    <w:p w14:paraId="530E4771">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我单位是自己参加询价，如我单位成为最终成交人，则由我单位自己组织实施，不挂靠，不转包。如此承诺不实，则我单位自动放弃成交人资格。</w:t>
      </w:r>
    </w:p>
    <w:p w14:paraId="63B12A82">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如我单位参与询价的相关资料有弄虚作假情况，我单位将自动放弃成交人资格。</w:t>
      </w:r>
    </w:p>
    <w:p w14:paraId="0AE5D217">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我单位完全响应询价文件要求。</w:t>
      </w:r>
    </w:p>
    <w:p w14:paraId="6F41437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1"/>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3A5FB26F">
      <w:pPr>
        <w:keepNext w:val="0"/>
        <w:keepLines w:val="0"/>
        <w:pageBreakBefore w:val="0"/>
        <w:widowControl w:val="0"/>
        <w:kinsoku/>
        <w:wordWrap w:val="0"/>
        <w:overflowPunct/>
        <w:topLinePunct w:val="0"/>
        <w:autoSpaceDE/>
        <w:autoSpaceDN/>
        <w:bidi w:val="0"/>
        <w:adjustRightInd/>
        <w:snapToGrid w:val="0"/>
        <w:spacing w:line="540" w:lineRule="exact"/>
        <w:ind w:firstLine="600"/>
        <w:jc w:val="right"/>
        <w:textAlignment w:val="auto"/>
        <w:rPr>
          <w:rFonts w:ascii="仿宋" w:hAnsi="仿宋" w:eastAsia="仿宋"/>
          <w:color w:val="000000" w:themeColor="text1"/>
          <w:sz w:val="28"/>
          <w:szCs w:val="28"/>
          <w14:textFill>
            <w14:solidFill>
              <w14:schemeClr w14:val="tx1"/>
            </w14:solidFill>
          </w14:textFill>
        </w:rPr>
      </w:pPr>
    </w:p>
    <w:p w14:paraId="3B7F9F3D">
      <w:pPr>
        <w:keepNext w:val="0"/>
        <w:keepLines w:val="0"/>
        <w:pageBreakBefore w:val="0"/>
        <w:widowControl w:val="0"/>
        <w:kinsoku/>
        <w:overflowPunct/>
        <w:topLinePunct w:val="0"/>
        <w:autoSpaceDE/>
        <w:autoSpaceDN/>
        <w:bidi w:val="0"/>
        <w:adjustRightInd/>
        <w:snapToGrid w:val="0"/>
        <w:spacing w:line="540" w:lineRule="exact"/>
        <w:ind w:firstLine="6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D313540">
      <w:pPr>
        <w:keepNext w:val="0"/>
        <w:keepLines w:val="0"/>
        <w:pageBreakBefore w:val="0"/>
        <w:widowControl w:val="0"/>
        <w:kinsoku/>
        <w:overflowPunct/>
        <w:topLinePunct w:val="0"/>
        <w:autoSpaceDE/>
        <w:autoSpaceDN/>
        <w:bidi w:val="0"/>
        <w:adjustRightInd/>
        <w:snapToGrid w:val="0"/>
        <w:spacing w:line="540" w:lineRule="exact"/>
        <w:ind w:right="1040"/>
        <w:jc w:val="right"/>
        <w:textAlignment w:val="auto"/>
        <w:rPr>
          <w:rFonts w:hint="eastAsia" w:ascii="仿宋" w:hAnsi="仿宋" w:eastAsia="仿宋"/>
          <w:b/>
          <w:bCs/>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546ADB0B">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14:paraId="3E98E405">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7"/>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14:paraId="61115522">
        <w:trPr>
          <w:gridAfter w:val="1"/>
          <w:wAfter w:w="23" w:type="dxa"/>
          <w:trHeight w:val="270" w:hRule="atLeast"/>
        </w:trPr>
        <w:tc>
          <w:tcPr>
            <w:tcW w:w="9180" w:type="dxa"/>
            <w:gridSpan w:val="6"/>
            <w:tcBorders>
              <w:top w:val="nil"/>
              <w:left w:val="nil"/>
              <w:bottom w:val="nil"/>
              <w:right w:val="nil"/>
            </w:tcBorders>
            <w:vAlign w:val="center"/>
          </w:tcPr>
          <w:p w14:paraId="66E3E319">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14:paraId="2E44338B">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2D31">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14:paraId="65F8D076">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D97E77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44A7A99">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5BCD357D">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45DEF5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29AC3ACB">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0E8C72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151467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84C079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48637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646132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6F7967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46AF79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1D0020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43AFCC1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F53F3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C94872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E9360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B0092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5B8873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A42F8D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9226032">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9AE447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61D99B5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74C1362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010CD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FB60F8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88BD4D2">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27EC76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CA0879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21E70C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113095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4A13DE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A84514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77C25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2D70DCF">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6D2CEB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35E6F7E">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C1300B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AC6DF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33CC275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54C4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6675D2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03A3264">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03BBEF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2B785A5">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478986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10DF35A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0A33CB0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D3046D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EEC561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1916A5C">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1350B6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3D05D17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A81F93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45749E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6E18E4D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9FCB29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7D4F3B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DE9477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B6C3A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F32FD73">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899E06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2086F4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4FF72C4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407FA0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6992F87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94005B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D3F89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7B2A8B4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AEE75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1715556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70642E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5AE119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47C42C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818272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F0315B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6D4404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A3A193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824CA0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B4E3FA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6FFBE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33ED7E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59A63F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3BA330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30C9AFD4">
      <w:pPr>
        <w:spacing w:line="460" w:lineRule="exact"/>
        <w:jc w:val="left"/>
        <w:rPr>
          <w:rFonts w:ascii="仿宋" w:hAnsi="仿宋" w:eastAsia="仿宋"/>
          <w:color w:val="000000" w:themeColor="text1"/>
          <w:sz w:val="28"/>
          <w:szCs w:val="28"/>
          <w14:textFill>
            <w14:solidFill>
              <w14:schemeClr w14:val="tx1"/>
            </w14:solidFill>
          </w14:textFill>
        </w:rPr>
      </w:pPr>
    </w:p>
    <w:p w14:paraId="1E788D17">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185E72A9">
      <w:pPr>
        <w:spacing w:line="460" w:lineRule="exact"/>
        <w:rPr>
          <w:rFonts w:ascii="仿宋" w:hAnsi="仿宋" w:eastAsia="仿宋"/>
          <w:b/>
          <w:bCs/>
          <w:color w:val="000000" w:themeColor="text1"/>
          <w:sz w:val="28"/>
          <w:szCs w:val="28"/>
          <w14:textFill>
            <w14:solidFill>
              <w14:schemeClr w14:val="tx1"/>
            </w14:solidFill>
          </w14:textFill>
        </w:rPr>
      </w:pPr>
    </w:p>
    <w:p w14:paraId="3DD638F1">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3494CCE">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27D131F2">
      <w:pPr>
        <w:keepNext w:val="0"/>
        <w:keepLines w:val="0"/>
        <w:pageBreakBefore w:val="0"/>
        <w:widowControl w:val="0"/>
        <w:kinsoku/>
        <w:wordWrap/>
        <w:overflowPunct/>
        <w:topLinePunct w:val="0"/>
        <w:autoSpaceDE/>
        <w:autoSpaceDN/>
        <w:bidi w:val="0"/>
        <w:adjustRightInd/>
        <w:spacing w:line="560" w:lineRule="exact"/>
        <w:textAlignment w:val="auto"/>
      </w:pPr>
    </w:p>
    <w:sectPr>
      <w:footerReference r:id="rId3" w:type="default"/>
      <w:pgSz w:w="11906" w:h="16838"/>
      <w:pgMar w:top="2041" w:right="1587" w:bottom="204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embedRegular r:id="rId1" w:fontKey="{A110823E-9817-0867-E108-67692C19E5AE}"/>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embedRegular r:id="rId2" w:fontKey="{8F31CEFA-A178-E206-E108-6769F494E64B}"/>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C8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14:paraId="287617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F11B5"/>
    <w:rsid w:val="00B901BB"/>
    <w:rsid w:val="029A38EC"/>
    <w:rsid w:val="03960557"/>
    <w:rsid w:val="050745CD"/>
    <w:rsid w:val="05C3315A"/>
    <w:rsid w:val="10D601E5"/>
    <w:rsid w:val="168504A4"/>
    <w:rsid w:val="1D286967"/>
    <w:rsid w:val="234076E0"/>
    <w:rsid w:val="252E1F46"/>
    <w:rsid w:val="2A9C2048"/>
    <w:rsid w:val="2EBF2A21"/>
    <w:rsid w:val="31673770"/>
    <w:rsid w:val="32B45800"/>
    <w:rsid w:val="37070849"/>
    <w:rsid w:val="37240498"/>
    <w:rsid w:val="3BFC46F4"/>
    <w:rsid w:val="3E281F2B"/>
    <w:rsid w:val="3E864749"/>
    <w:rsid w:val="45833790"/>
    <w:rsid w:val="471921D7"/>
    <w:rsid w:val="4A484FA8"/>
    <w:rsid w:val="4C9E6DE5"/>
    <w:rsid w:val="4CFC0AA5"/>
    <w:rsid w:val="578C4726"/>
    <w:rsid w:val="5B1B42A8"/>
    <w:rsid w:val="626C5880"/>
    <w:rsid w:val="658A7A2C"/>
    <w:rsid w:val="65C95E08"/>
    <w:rsid w:val="687C6F7D"/>
    <w:rsid w:val="694F11B5"/>
    <w:rsid w:val="6B340676"/>
    <w:rsid w:val="6B8E2D0B"/>
    <w:rsid w:val="6CE801F9"/>
    <w:rsid w:val="6EDC4386"/>
    <w:rsid w:val="70F71300"/>
    <w:rsid w:val="746318AB"/>
    <w:rsid w:val="79517126"/>
    <w:rsid w:val="7A99244D"/>
    <w:rsid w:val="7CF173D2"/>
    <w:rsid w:val="7D2049D9"/>
    <w:rsid w:val="7DC50AE8"/>
    <w:rsid w:val="7E4F47F2"/>
    <w:rsid w:val="7EFB0260"/>
    <w:rsid w:val="EBDAC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3266</Words>
  <Characters>3400</Characters>
  <Lines>0</Lines>
  <Paragraphs>0</Paragraphs>
  <TotalTime>107</TotalTime>
  <ScaleCrop>false</ScaleCrop>
  <LinksUpToDate>false</LinksUpToDate>
  <CharactersWithSpaces>3598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2025-08-18T17:02:00Z</dcterms:created>
  <dc:creator>TiamoY</dc:creator>
  <cp:lastModifiedBy>Jmy</cp:lastModifiedBy>
  <cp:lastPrinted>2025-08-18T17:36:00Z</cp:lastPrinted>
  <dcterms:modified xsi:type="dcterms:W3CDTF">2026-01-14T11:09:21Z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5F2FE2BA90C73B6BE1086769F417176B_43</vt:lpwstr>
  </property>
  <property fmtid="{D5CDD505-2E9C-101B-9397-08002B2CF9AE}" pid="4" name="KSOTemplateDocerSaveRecord">
    <vt:lpwstr>eyJoZGlkIjoiMDQ3ZTc0OWI5YWY1NjI0MGUyMGQyNTY4NzQ4ZGUzOGEiLCJ1c2VySWQiOiIyNDYyMjkwNzgifQ==</vt:lpwstr>
  </property>
</Properties>
</file>