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DAC0B">
      <w:pPr>
        <w:spacing w:line="600" w:lineRule="exact"/>
        <w:jc w:val="center"/>
        <w:rPr>
          <w:rFonts w:ascii="仿宋" w:hAnsi="仿宋" w:eastAsia="仿宋"/>
          <w:b/>
          <w:color w:val="000000" w:themeColor="text1"/>
          <w:sz w:val="28"/>
          <w:szCs w:val="28"/>
        </w:rPr>
      </w:pPr>
      <w:bookmarkStart w:id="3" w:name="_GoBack"/>
      <w:bookmarkEnd w:id="3"/>
    </w:p>
    <w:p w14:paraId="076A3DBE">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bCs/>
          <w:color w:val="000000" w:themeColor="text1"/>
          <w:kern w:val="0"/>
          <w:sz w:val="44"/>
          <w:szCs w:val="44"/>
          <w:lang w:val="en-US" w:eastAsia="zh-CN"/>
        </w:rPr>
      </w:pPr>
      <w:r>
        <w:rPr>
          <w:rFonts w:hint="eastAsia" w:ascii="方正小标宋简体" w:hAnsi="方正小标宋简体" w:eastAsia="方正小标宋简体" w:cs="方正小标宋简体"/>
          <w:bCs/>
          <w:color w:val="000000" w:themeColor="text1"/>
          <w:kern w:val="0"/>
          <w:sz w:val="44"/>
          <w:szCs w:val="44"/>
          <w:lang w:val="en-US" w:eastAsia="zh-CN"/>
        </w:rPr>
        <w:t>贵阳市农业农垦投资发展集团有限公司</w:t>
      </w:r>
    </w:p>
    <w:p w14:paraId="4D21F71F">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bCs/>
          <w:color w:val="000000" w:themeColor="text1"/>
          <w:kern w:val="0"/>
          <w:sz w:val="44"/>
          <w:szCs w:val="44"/>
          <w:lang w:val="en-US" w:eastAsia="zh-CN"/>
        </w:rPr>
      </w:pPr>
      <w:r>
        <w:rPr>
          <w:rFonts w:hint="eastAsia" w:ascii="方正小标宋简体" w:hAnsi="方正小标宋简体" w:eastAsia="方正小标宋简体" w:cs="方正小标宋简体"/>
          <w:bCs/>
          <w:color w:val="000000" w:themeColor="text1"/>
          <w:kern w:val="0"/>
          <w:sz w:val="44"/>
          <w:szCs w:val="44"/>
          <w:lang w:val="en-US" w:eastAsia="zh-CN"/>
        </w:rPr>
        <w:t>消防应急自救包采购项目</w:t>
      </w:r>
    </w:p>
    <w:p w14:paraId="7B2E68BE">
      <w:pPr>
        <w:spacing w:line="720" w:lineRule="exact"/>
        <w:jc w:val="center"/>
        <w:rPr>
          <w:rFonts w:ascii="仿宋" w:hAnsi="仿宋" w:eastAsia="仿宋"/>
          <w:b/>
          <w:color w:val="000000" w:themeColor="text1"/>
          <w:sz w:val="32"/>
          <w:szCs w:val="32"/>
        </w:rPr>
      </w:pPr>
    </w:p>
    <w:p w14:paraId="39904F35">
      <w:pPr>
        <w:spacing w:line="720" w:lineRule="exact"/>
        <w:jc w:val="center"/>
        <w:rPr>
          <w:rFonts w:ascii="仿宋" w:hAnsi="仿宋" w:eastAsia="仿宋"/>
          <w:b/>
          <w:color w:val="000000" w:themeColor="text1"/>
          <w:sz w:val="32"/>
          <w:szCs w:val="32"/>
        </w:rPr>
      </w:pPr>
    </w:p>
    <w:p w14:paraId="3E2C3E3D">
      <w:pPr>
        <w:spacing w:line="720" w:lineRule="exact"/>
        <w:jc w:val="center"/>
        <w:rPr>
          <w:rFonts w:ascii="仿宋" w:hAnsi="仿宋" w:eastAsia="仿宋"/>
          <w:b/>
          <w:color w:val="000000" w:themeColor="text1"/>
          <w:sz w:val="32"/>
          <w:szCs w:val="32"/>
        </w:rPr>
      </w:pPr>
    </w:p>
    <w:p w14:paraId="62611BCF">
      <w:pPr>
        <w:spacing w:line="720" w:lineRule="exact"/>
        <w:jc w:val="center"/>
        <w:rPr>
          <w:rFonts w:ascii="仿宋" w:hAnsi="仿宋" w:eastAsia="仿宋"/>
          <w:b/>
          <w:color w:val="000000" w:themeColor="text1"/>
          <w:sz w:val="32"/>
          <w:szCs w:val="32"/>
        </w:rPr>
      </w:pPr>
    </w:p>
    <w:p w14:paraId="60A8D65E">
      <w:pPr>
        <w:spacing w:line="720" w:lineRule="exact"/>
        <w:ind w:firstLine="3694" w:firstLineChars="1150"/>
        <w:rPr>
          <w:rFonts w:ascii="仿宋" w:hAnsi="仿宋" w:eastAsia="仿宋"/>
          <w:b/>
          <w:color w:val="000000" w:themeColor="text1"/>
          <w:sz w:val="32"/>
          <w:szCs w:val="32"/>
        </w:rPr>
      </w:pPr>
      <w:r>
        <w:rPr>
          <w:rFonts w:hint="eastAsia" w:ascii="仿宋" w:hAnsi="仿宋" w:eastAsia="仿宋"/>
          <w:b/>
          <w:color w:val="000000" w:themeColor="text1"/>
          <w:sz w:val="32"/>
          <w:szCs w:val="32"/>
        </w:rPr>
        <w:t>询价文件</w:t>
      </w:r>
    </w:p>
    <w:p w14:paraId="0ABD29C0">
      <w:pPr>
        <w:spacing w:line="720" w:lineRule="exact"/>
        <w:jc w:val="center"/>
        <w:rPr>
          <w:rFonts w:ascii="仿宋" w:hAnsi="仿宋" w:eastAsia="仿宋"/>
          <w:b/>
          <w:color w:val="000000" w:themeColor="text1"/>
          <w:sz w:val="32"/>
          <w:szCs w:val="32"/>
        </w:rPr>
      </w:pPr>
    </w:p>
    <w:p w14:paraId="2380FF3F">
      <w:pPr>
        <w:spacing w:line="720" w:lineRule="exact"/>
        <w:jc w:val="center"/>
        <w:rPr>
          <w:rFonts w:ascii="仿宋" w:hAnsi="仿宋" w:eastAsia="仿宋"/>
          <w:b/>
          <w:color w:val="000000" w:themeColor="text1"/>
          <w:sz w:val="32"/>
          <w:szCs w:val="32"/>
        </w:rPr>
      </w:pPr>
    </w:p>
    <w:p w14:paraId="3D83E90B">
      <w:pPr>
        <w:spacing w:line="720" w:lineRule="exact"/>
        <w:jc w:val="center"/>
        <w:rPr>
          <w:rFonts w:ascii="仿宋" w:hAnsi="仿宋" w:eastAsia="仿宋"/>
          <w:b/>
          <w:color w:val="000000" w:themeColor="text1"/>
          <w:sz w:val="32"/>
          <w:szCs w:val="32"/>
        </w:rPr>
      </w:pPr>
    </w:p>
    <w:p w14:paraId="4C68607A">
      <w:pPr>
        <w:spacing w:line="600" w:lineRule="exact"/>
        <w:jc w:val="center"/>
        <w:rPr>
          <w:rFonts w:ascii="仿宋" w:hAnsi="仿宋" w:eastAsia="仿宋"/>
          <w:color w:val="000000" w:themeColor="text1"/>
          <w:sz w:val="32"/>
          <w:szCs w:val="32"/>
        </w:rPr>
      </w:pPr>
    </w:p>
    <w:p w14:paraId="3BF369A4">
      <w:pPr>
        <w:spacing w:line="600" w:lineRule="exact"/>
        <w:jc w:val="center"/>
        <w:rPr>
          <w:rFonts w:ascii="仿宋" w:hAnsi="仿宋" w:eastAsia="仿宋"/>
          <w:b/>
          <w:color w:val="000000" w:themeColor="text1"/>
          <w:sz w:val="32"/>
          <w:szCs w:val="32"/>
        </w:rPr>
      </w:pPr>
    </w:p>
    <w:p w14:paraId="114B0268">
      <w:pPr>
        <w:spacing w:line="600" w:lineRule="exact"/>
        <w:jc w:val="left"/>
        <w:rPr>
          <w:rFonts w:ascii="仿宋" w:hAnsi="仿宋" w:eastAsia="仿宋"/>
          <w:b/>
          <w:color w:val="000000" w:themeColor="text1"/>
          <w:sz w:val="32"/>
          <w:szCs w:val="32"/>
        </w:rPr>
      </w:pPr>
    </w:p>
    <w:p w14:paraId="66B751CA">
      <w:pPr>
        <w:spacing w:line="600" w:lineRule="exact"/>
        <w:jc w:val="center"/>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采  购  人：贵阳市农业农垦投资发展集团有限公司</w:t>
      </w:r>
    </w:p>
    <w:p w14:paraId="63CF3C1F">
      <w:pPr>
        <w:spacing w:line="600" w:lineRule="exact"/>
        <w:jc w:val="center"/>
        <w:rPr>
          <w:rFonts w:hint="eastAsia" w:ascii="国标仿宋-GB/T 2312" w:hAnsi="国标仿宋-GB/T 2312" w:eastAsia="国标仿宋-GB/T 2312" w:cs="国标仿宋-GB/T 2312"/>
          <w:color w:val="000000" w:themeColor="text1"/>
          <w:sz w:val="32"/>
          <w:szCs w:val="32"/>
        </w:rPr>
      </w:pPr>
    </w:p>
    <w:p w14:paraId="5565A8EA">
      <w:pPr>
        <w:spacing w:line="600" w:lineRule="exact"/>
        <w:jc w:val="center"/>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二〇二</w:t>
      </w:r>
      <w:r>
        <w:rPr>
          <w:rFonts w:hint="eastAsia" w:ascii="国标仿宋-GB/T 2312" w:hAnsi="国标仿宋-GB/T 2312" w:eastAsia="国标仿宋-GB/T 2312" w:cs="国标仿宋-GB/T 2312"/>
          <w:color w:val="000000" w:themeColor="text1"/>
          <w:sz w:val="32"/>
          <w:szCs w:val="32"/>
          <w:lang w:eastAsia="zh-CN"/>
        </w:rPr>
        <w:t>五</w:t>
      </w:r>
      <w:r>
        <w:rPr>
          <w:rFonts w:hint="eastAsia" w:ascii="国标仿宋-GB/T 2312" w:hAnsi="国标仿宋-GB/T 2312" w:eastAsia="国标仿宋-GB/T 2312" w:cs="国标仿宋-GB/T 2312"/>
          <w:color w:val="000000" w:themeColor="text1"/>
          <w:sz w:val="32"/>
          <w:szCs w:val="32"/>
        </w:rPr>
        <w:t>年</w:t>
      </w:r>
      <w:r>
        <w:rPr>
          <w:rFonts w:hint="eastAsia" w:ascii="国标仿宋-GB/T 2312" w:hAnsi="国标仿宋-GB/T 2312" w:eastAsia="国标仿宋-GB/T 2312" w:cs="国标仿宋-GB/T 2312"/>
          <w:color w:val="000000" w:themeColor="text1"/>
          <w:sz w:val="32"/>
          <w:szCs w:val="32"/>
          <w:lang w:val="en-US" w:eastAsia="zh-CN"/>
        </w:rPr>
        <w:t>十二</w:t>
      </w:r>
      <w:r>
        <w:rPr>
          <w:rFonts w:hint="eastAsia" w:ascii="国标仿宋-GB/T 2312" w:hAnsi="国标仿宋-GB/T 2312" w:eastAsia="国标仿宋-GB/T 2312" w:cs="国标仿宋-GB/T 2312"/>
          <w:color w:val="000000" w:themeColor="text1"/>
          <w:sz w:val="32"/>
          <w:szCs w:val="32"/>
        </w:rPr>
        <w:t>月</w:t>
      </w:r>
    </w:p>
    <w:p w14:paraId="0EFAAF5F">
      <w:pPr>
        <w:spacing w:line="600" w:lineRule="exact"/>
        <w:jc w:val="center"/>
        <w:rPr>
          <w:rFonts w:ascii="仿宋" w:hAnsi="仿宋" w:eastAsia="仿宋"/>
          <w:color w:val="000000" w:themeColor="text1"/>
          <w:sz w:val="32"/>
          <w:szCs w:val="32"/>
        </w:rPr>
      </w:pPr>
    </w:p>
    <w:p w14:paraId="2AE14DD6">
      <w:pPr>
        <w:pStyle w:val="5"/>
        <w:spacing w:line="420" w:lineRule="exact"/>
        <w:ind w:firstLine="640" w:firstLineChars="200"/>
        <w:jc w:val="center"/>
        <w:rPr>
          <w:rFonts w:hAnsi="宋体"/>
          <w:color w:val="000000" w:themeColor="text1"/>
          <w:sz w:val="32"/>
          <w:szCs w:val="32"/>
        </w:rPr>
      </w:pPr>
    </w:p>
    <w:p w14:paraId="52C2FF9D">
      <w:pPr>
        <w:pStyle w:val="5"/>
        <w:spacing w:line="420" w:lineRule="exact"/>
        <w:ind w:firstLine="640" w:firstLineChars="200"/>
        <w:jc w:val="center"/>
        <w:rPr>
          <w:rFonts w:hAnsi="宋体"/>
          <w:color w:val="000000" w:themeColor="text1"/>
          <w:sz w:val="32"/>
          <w:szCs w:val="32"/>
        </w:rPr>
      </w:pPr>
    </w:p>
    <w:p w14:paraId="128868E5">
      <w:pPr>
        <w:pStyle w:val="5"/>
        <w:spacing w:line="420" w:lineRule="exact"/>
        <w:ind w:firstLine="640" w:firstLineChars="200"/>
        <w:jc w:val="center"/>
        <w:rPr>
          <w:rFonts w:hAnsi="宋体"/>
          <w:color w:val="000000" w:themeColor="text1"/>
          <w:sz w:val="32"/>
          <w:szCs w:val="32"/>
        </w:rPr>
      </w:pPr>
    </w:p>
    <w:p w14:paraId="3C985B86">
      <w:pPr>
        <w:pStyle w:val="5"/>
        <w:spacing w:line="420" w:lineRule="exact"/>
        <w:ind w:firstLine="640" w:firstLineChars="200"/>
        <w:jc w:val="center"/>
        <w:rPr>
          <w:rFonts w:hAnsi="宋体"/>
          <w:color w:val="000000" w:themeColor="text1"/>
          <w:sz w:val="32"/>
          <w:szCs w:val="32"/>
        </w:rPr>
      </w:pPr>
    </w:p>
    <w:p w14:paraId="53AE8DCC">
      <w:pPr>
        <w:pStyle w:val="5"/>
        <w:spacing w:line="420" w:lineRule="exact"/>
        <w:rPr>
          <w:rFonts w:hAnsi="宋体"/>
          <w:color w:val="000000" w:themeColor="text1"/>
          <w:sz w:val="32"/>
          <w:szCs w:val="32"/>
        </w:rPr>
      </w:pPr>
    </w:p>
    <w:p w14:paraId="06BDBCFC">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bCs/>
          <w:color w:val="000000" w:themeColor="text1"/>
          <w:kern w:val="0"/>
          <w:sz w:val="44"/>
          <w:szCs w:val="44"/>
          <w:lang w:val="en-US" w:eastAsia="zh-CN"/>
        </w:rPr>
      </w:pPr>
      <w:r>
        <w:rPr>
          <w:rFonts w:hint="eastAsia" w:ascii="方正小标宋简体" w:hAnsi="方正小标宋简体" w:eastAsia="方正小标宋简体" w:cs="方正小标宋简体"/>
          <w:bCs/>
          <w:color w:val="000000" w:themeColor="text1"/>
          <w:kern w:val="0"/>
          <w:sz w:val="44"/>
          <w:szCs w:val="44"/>
          <w:lang w:val="en-US" w:eastAsia="zh-CN"/>
        </w:rPr>
        <w:t>贵阳市农业农垦投资发展集团有限公司</w:t>
      </w:r>
    </w:p>
    <w:p w14:paraId="368DFB7B">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bCs/>
          <w:color w:val="000000" w:themeColor="text1"/>
          <w:kern w:val="0"/>
          <w:sz w:val="44"/>
          <w:szCs w:val="44"/>
          <w:lang w:val="en-US" w:eastAsia="zh-CN"/>
        </w:rPr>
      </w:pPr>
      <w:r>
        <w:rPr>
          <w:rFonts w:hint="eastAsia" w:ascii="方正小标宋简体" w:hAnsi="方正小标宋简体" w:eastAsia="方正小标宋简体" w:cs="方正小标宋简体"/>
          <w:bCs/>
          <w:color w:val="000000" w:themeColor="text1"/>
          <w:kern w:val="0"/>
          <w:sz w:val="44"/>
          <w:szCs w:val="44"/>
          <w:lang w:val="en-US" w:eastAsia="zh-CN"/>
        </w:rPr>
        <w:t>消防应急自救包采购项目报价邀请函</w:t>
      </w:r>
    </w:p>
    <w:p w14:paraId="384D721F">
      <w:pPr>
        <w:keepNext w:val="0"/>
        <w:keepLines w:val="0"/>
        <w:pageBreakBefore w:val="0"/>
        <w:widowControl/>
        <w:kinsoku/>
        <w:wordWrap/>
        <w:overflowPunct/>
        <w:topLinePunct w:val="0"/>
        <w:autoSpaceDE/>
        <w:autoSpaceDN/>
        <w:bidi w:val="0"/>
        <w:adjustRightInd w:val="0"/>
        <w:snapToGrid w:val="0"/>
        <w:spacing w:after="0" w:line="560" w:lineRule="atLeast"/>
        <w:jc w:val="left"/>
        <w:textAlignment w:val="auto"/>
        <w:rPr>
          <w:rFonts w:hint="eastAsia" w:ascii="方正小标宋简体" w:hAnsi="方正小标宋简体" w:eastAsia="方正小标宋简体" w:cs="方正小标宋简体"/>
          <w:bCs/>
          <w:color w:val="000000" w:themeColor="text1"/>
          <w:kern w:val="0"/>
          <w:sz w:val="44"/>
          <w:szCs w:val="44"/>
          <w:lang w:val="en-US" w:eastAsia="zh-CN"/>
        </w:rPr>
      </w:pPr>
    </w:p>
    <w:p w14:paraId="582D3529">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ascii="仿宋" w:hAnsi="仿宋" w:eastAsia="仿宋" w:cs="仿宋"/>
          <w:bCs/>
          <w:color w:val="000000" w:themeColor="text1"/>
          <w:sz w:val="32"/>
          <w:szCs w:val="32"/>
        </w:rPr>
      </w:pPr>
      <w:r>
        <w:rPr>
          <w:rFonts w:hint="eastAsia" w:ascii="仿宋" w:hAnsi="仿宋" w:eastAsia="仿宋"/>
          <w:sz w:val="32"/>
          <w:szCs w:val="32"/>
        </w:rPr>
        <w:t>贵阳市农业农垦投资发展集团有限公司（以下简称市农投集团）</w:t>
      </w:r>
      <w:r>
        <w:rPr>
          <w:rFonts w:hint="eastAsia" w:ascii="仿宋" w:hAnsi="仿宋" w:eastAsia="仿宋" w:cs="仿宋"/>
          <w:bCs/>
          <w:color w:val="000000" w:themeColor="text1"/>
          <w:sz w:val="32"/>
          <w:szCs w:val="32"/>
        </w:rPr>
        <w:t>拟以询价方式</w:t>
      </w:r>
      <w:r>
        <w:rPr>
          <w:rFonts w:hint="eastAsia" w:ascii="仿宋" w:hAnsi="仿宋" w:eastAsia="仿宋" w:cs="仿宋"/>
          <w:bCs/>
          <w:color w:val="000000" w:themeColor="text1"/>
          <w:sz w:val="32"/>
          <w:szCs w:val="32"/>
          <w:lang w:eastAsia="zh-CN"/>
        </w:rPr>
        <w:t>采购消防应急自救包</w:t>
      </w:r>
      <w:r>
        <w:rPr>
          <w:rFonts w:hint="eastAsia" w:ascii="仿宋" w:hAnsi="仿宋" w:eastAsia="仿宋" w:cs="仿宋"/>
          <w:bCs/>
          <w:color w:val="000000" w:themeColor="text1"/>
          <w:sz w:val="32"/>
          <w:szCs w:val="32"/>
        </w:rPr>
        <w:t>，现邀请贵单位前来参与。</w:t>
      </w:r>
    </w:p>
    <w:p w14:paraId="348E11A0">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rPr>
        <w:t>一、项目</w:t>
      </w:r>
      <w:r>
        <w:rPr>
          <w:rFonts w:hint="eastAsia" w:ascii="国标黑体" w:hAnsi="国标黑体" w:eastAsia="国标黑体" w:cs="国标黑体"/>
          <w:b w:val="0"/>
          <w:bCs/>
          <w:color w:val="000000" w:themeColor="text1"/>
          <w:sz w:val="32"/>
          <w:szCs w:val="32"/>
          <w:lang w:val="en-US" w:eastAsia="zh-CN"/>
        </w:rPr>
        <w:t>概况</w:t>
      </w:r>
    </w:p>
    <w:p w14:paraId="12C06484">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cs="仿宋"/>
          <w:bCs/>
          <w:color w:val="000000" w:themeColor="text1"/>
          <w:sz w:val="32"/>
          <w:szCs w:val="32"/>
          <w:lang w:val="en-US" w:eastAsia="zh-CN"/>
        </w:rPr>
      </w:pPr>
      <w:r>
        <w:rPr>
          <w:rFonts w:hint="eastAsia" w:ascii="仿宋" w:hAnsi="仿宋" w:eastAsia="仿宋" w:cs="仿宋"/>
          <w:bCs/>
          <w:color w:val="000000" w:themeColor="text1"/>
          <w:sz w:val="32"/>
          <w:szCs w:val="32"/>
          <w:lang w:val="en-US" w:eastAsia="zh-CN"/>
        </w:rPr>
        <w:t>1.项目名称：消防应急自救包123套。</w:t>
      </w:r>
    </w:p>
    <w:p w14:paraId="7F649754">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cs="仿宋"/>
          <w:bCs/>
          <w:color w:val="000000" w:themeColor="text1"/>
          <w:sz w:val="32"/>
          <w:szCs w:val="32"/>
          <w:lang w:val="en-US" w:eastAsia="zh-CN"/>
        </w:rPr>
      </w:pPr>
      <w:r>
        <w:rPr>
          <w:rFonts w:hint="eastAsia" w:ascii="仿宋" w:hAnsi="仿宋" w:eastAsia="仿宋" w:cs="仿宋"/>
          <w:bCs/>
          <w:color w:val="000000" w:themeColor="text1"/>
          <w:sz w:val="32"/>
          <w:szCs w:val="32"/>
          <w:lang w:val="en-US" w:eastAsia="zh-CN"/>
        </w:rPr>
        <w:t>2.项目预算：3万元以内（含3万元）。</w:t>
      </w:r>
    </w:p>
    <w:p w14:paraId="1EE23855">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cs="仿宋"/>
          <w:bCs/>
          <w:color w:val="000000" w:themeColor="text1"/>
          <w:sz w:val="32"/>
          <w:szCs w:val="32"/>
          <w:lang w:val="en-US" w:eastAsia="zh-CN"/>
        </w:rPr>
      </w:pPr>
      <w:r>
        <w:rPr>
          <w:rFonts w:hint="eastAsia" w:ascii="仿宋" w:hAnsi="仿宋" w:eastAsia="仿宋" w:cs="仿宋"/>
          <w:bCs/>
          <w:color w:val="000000" w:themeColor="text1"/>
          <w:sz w:val="32"/>
          <w:szCs w:val="32"/>
          <w:lang w:val="en-US" w:eastAsia="zh-CN"/>
        </w:rPr>
        <w:t>3.采购方式：询价方式采购。</w:t>
      </w:r>
    </w:p>
    <w:p w14:paraId="768F0731">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二、项目服务内容</w:t>
      </w:r>
    </w:p>
    <w:p w14:paraId="1FFABE85">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1.为市农投集团提供满足国家标准要求的消防应急自救包123套，自救包中至少包含灭火毯、水基型灭火器、消防面罩、口哨、手电筒等应急器材；</w:t>
      </w:r>
    </w:p>
    <w:p w14:paraId="63323FD2">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2.应急自救包应为手提式、防水材质、轻便耐磨；</w:t>
      </w:r>
    </w:p>
    <w:p w14:paraId="45D7985A">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3.灭火毯：尺寸≥1m*1m；不燃织物（如玻纤），禁用石棉，厚度≥0.43mm，边缘密封防纤维脱落；续燃/阴燃时间≤2s，800℃火焰30s无穿透、无熔滴；</w:t>
      </w:r>
    </w:p>
    <w:p w14:paraId="1F0C6C4F">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4.水基型灭火器：灭火剂充装量、喷射性能、密封性能、强度等符合GB4351-2023；</w:t>
      </w:r>
    </w:p>
    <w:p w14:paraId="4D2120EC">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5.消防过滤式自救呼吸器：滤烟效率≥95%、一氧化碳防护时间≥30min；</w:t>
      </w:r>
    </w:p>
    <w:p w14:paraId="253EA3AD">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6.口哨：高频易穿透烟雾/噪声、阻燃、耐高低温，无尖锐边缘；</w:t>
      </w:r>
    </w:p>
    <w:p w14:paraId="5B980F4E">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7.手电筒：满电照明≥5h、支持机械/太阳能充电；IP65及以上防水防尘，抗跌落≥1m；阻燃外壳，无爆炸风险；</w:t>
      </w:r>
    </w:p>
    <w:p w14:paraId="6A518F43">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8.灭火器、消防面罩等强制性认证产品，须提供“CCC”证书及产品身份信息标志，可在中国消防产品信息网核验；</w:t>
      </w:r>
    </w:p>
    <w:p w14:paraId="76DBFA2F">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9.承诺产品质保期≥1 年，质保期内出现质量问题免费更换；</w:t>
      </w:r>
    </w:p>
    <w:p w14:paraId="57AEFD16">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10.供应商需提供一次应急器材使用培训服务或应急器材使用教学视频。</w:t>
      </w:r>
    </w:p>
    <w:p w14:paraId="6CB9E87C">
      <w:pPr>
        <w:keepNext w:val="0"/>
        <w:keepLines w:val="0"/>
        <w:pageBreakBefore w:val="0"/>
        <w:widowControl w:val="0"/>
        <w:kinsoku/>
        <w:wordWrap/>
        <w:overflowPunct/>
        <w:topLinePunct w:val="0"/>
        <w:autoSpaceDE/>
        <w:autoSpaceDN/>
        <w:bidi w:val="0"/>
        <w:adjustRightInd/>
        <w:snapToGrid w:val="0"/>
        <w:spacing w:line="560" w:lineRule="atLeast"/>
        <w:ind w:firstLine="641" w:firstLineChars="200"/>
        <w:jc w:val="left"/>
        <w:textAlignment w:val="auto"/>
        <w:rPr>
          <w:rFonts w:hint="eastAsia" w:ascii="国标黑体" w:hAnsi="国标黑体" w:eastAsia="国标黑体" w:cs="国标黑体"/>
          <w:b/>
          <w:bCs/>
          <w:kern w:val="0"/>
          <w:sz w:val="32"/>
          <w:szCs w:val="32"/>
          <w:lang w:val="en-US" w:eastAsia="zh-CN"/>
        </w:rPr>
      </w:pPr>
      <w:r>
        <w:rPr>
          <w:rFonts w:hint="eastAsia" w:ascii="国标黑体" w:hAnsi="国标黑体" w:eastAsia="国标黑体" w:cs="国标黑体"/>
          <w:b/>
          <w:bCs/>
          <w:kern w:val="0"/>
          <w:sz w:val="32"/>
          <w:szCs w:val="32"/>
          <w:lang w:val="en-US" w:eastAsia="zh-CN"/>
        </w:rPr>
        <w:t>三、响应单位资格要求</w:t>
      </w:r>
    </w:p>
    <w:p w14:paraId="0F0750E4">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国标仿宋-GB/T 2312" w:hAnsi="国标仿宋-GB/T 2312" w:eastAsia="国标仿宋-GB/T 2312" w:cs="国标仿宋-GB/T 2312"/>
          <w:kern w:val="0"/>
          <w:sz w:val="32"/>
          <w:szCs w:val="32"/>
          <w:lang w:val="en-US" w:eastAsia="zh-CN"/>
        </w:rPr>
      </w:pPr>
      <w:r>
        <w:rPr>
          <w:rFonts w:hint="eastAsia" w:ascii="国标仿宋-GB/T 2312" w:hAnsi="国标仿宋-GB/T 2312" w:eastAsia="国标仿宋-GB/T 2312" w:cs="国标仿宋-GB/T 2312"/>
          <w:kern w:val="0"/>
          <w:sz w:val="32"/>
          <w:szCs w:val="32"/>
          <w:lang w:val="en-US" w:eastAsia="zh-CN"/>
        </w:rPr>
        <w:t>1.供应商应具有独立法人资质，独立承担民事责任能力，具有良好的经济信誉；</w:t>
      </w:r>
    </w:p>
    <w:p w14:paraId="37EF8A3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国标仿宋-GB/T 2312" w:hAnsi="国标仿宋-GB/T 2312" w:eastAsia="国标仿宋-GB/T 2312" w:cs="国标仿宋-GB/T 2312"/>
          <w:kern w:val="0"/>
          <w:sz w:val="32"/>
          <w:szCs w:val="32"/>
          <w:lang w:val="en-US" w:eastAsia="zh-CN"/>
        </w:rPr>
      </w:pPr>
      <w:r>
        <w:rPr>
          <w:rFonts w:hint="eastAsia" w:ascii="国标仿宋-GB/T 2312" w:hAnsi="国标仿宋-GB/T 2312" w:eastAsia="国标仿宋-GB/T 2312" w:cs="国标仿宋-GB/T 2312"/>
          <w:kern w:val="0"/>
          <w:sz w:val="32"/>
          <w:szCs w:val="32"/>
          <w:lang w:val="en-US" w:eastAsia="zh-CN"/>
        </w:rPr>
        <w:t>2.营业执照的经营范围须涵盖本次采购内容；</w:t>
      </w:r>
    </w:p>
    <w:p w14:paraId="4B154CC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国标仿宋-GB/T 2312" w:hAnsi="国标仿宋-GB/T 2312" w:eastAsia="国标仿宋-GB/T 2312" w:cs="国标仿宋-GB/T 2312"/>
          <w:kern w:val="0"/>
          <w:sz w:val="32"/>
          <w:szCs w:val="32"/>
          <w:lang w:val="en-US" w:eastAsia="zh-CN"/>
        </w:rPr>
      </w:pPr>
      <w:r>
        <w:rPr>
          <w:rFonts w:hint="eastAsia" w:ascii="国标仿宋-GB/T 2312" w:hAnsi="国标仿宋-GB/T 2312" w:eastAsia="国标仿宋-GB/T 2312" w:cs="国标仿宋-GB/T 2312"/>
          <w:kern w:val="0"/>
          <w:sz w:val="32"/>
          <w:szCs w:val="32"/>
          <w:lang w:val="en-US" w:eastAsia="zh-CN"/>
        </w:rPr>
        <w:t>3.本项目不接受联合体报名，供应商需具备满足集团采购的能力，交货周期不超过7日；</w:t>
      </w:r>
    </w:p>
    <w:p w14:paraId="5CA3B57E">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国标仿宋-GB/T 2312" w:hAnsi="国标仿宋-GB/T 2312" w:eastAsia="国标仿宋-GB/T 2312" w:cs="国标仿宋-GB/T 2312"/>
          <w:kern w:val="0"/>
          <w:sz w:val="32"/>
          <w:szCs w:val="32"/>
          <w:lang w:val="en-US" w:eastAsia="zh-CN"/>
        </w:rPr>
      </w:pPr>
      <w:r>
        <w:rPr>
          <w:rFonts w:hint="eastAsia" w:ascii="国标仿宋-GB/T 2312" w:hAnsi="国标仿宋-GB/T 2312" w:eastAsia="国标仿宋-GB/T 2312" w:cs="国标仿宋-GB/T 2312"/>
          <w:kern w:val="0"/>
          <w:sz w:val="32"/>
          <w:szCs w:val="32"/>
          <w:lang w:val="en-US" w:eastAsia="zh-CN"/>
        </w:rPr>
        <w:t>4.供应商参加本项目前三年内，在经营活动中无行政处罚记录；</w:t>
      </w:r>
    </w:p>
    <w:p w14:paraId="1ED7AC25">
      <w:pPr>
        <w:keepNext w:val="0"/>
        <w:keepLines w:val="0"/>
        <w:pageBreakBefore w:val="0"/>
        <w:widowControl/>
        <w:kinsoku/>
        <w:wordWrap w:val="0"/>
        <w:overflowPunct/>
        <w:topLinePunct w:val="0"/>
        <w:autoSpaceDE/>
        <w:autoSpaceDN/>
        <w:bidi w:val="0"/>
        <w:adjustRightInd w:val="0"/>
        <w:snapToGrid w:val="0"/>
        <w:spacing w:line="560" w:lineRule="atLeast"/>
        <w:ind w:firstLine="640" w:firstLineChars="200"/>
        <w:jc w:val="left"/>
        <w:textAlignment w:val="auto"/>
        <w:rPr>
          <w:rFonts w:hint="eastAsia" w:ascii="国标仿宋-GB/T 2312" w:hAnsi="国标仿宋-GB/T 2312" w:eastAsia="国标仿宋-GB/T 2312" w:cs="国标仿宋-GB/T 2312"/>
          <w:kern w:val="0"/>
          <w:sz w:val="32"/>
          <w:szCs w:val="32"/>
          <w:lang w:val="en-US" w:eastAsia="zh-CN"/>
        </w:rPr>
      </w:pPr>
      <w:r>
        <w:rPr>
          <w:rFonts w:hint="eastAsia" w:ascii="国标仿宋-GB/T 2312" w:hAnsi="国标仿宋-GB/T 2312" w:eastAsia="国标仿宋-GB/T 2312" w:cs="国标仿宋-GB/T 2312"/>
          <w:kern w:val="0"/>
          <w:sz w:val="32"/>
          <w:szCs w:val="32"/>
          <w:lang w:val="en-US" w:eastAsia="zh-CN"/>
        </w:rPr>
        <w:t>5.法律、行政法规规定的其他条件：对列入失信被执行人、重大税收违法案件当事人名单、政府采购严重违法失信行为记录名单且还在执行期的供应商，拒绝其参与政府采购活动。信用记录查询渠道为“信用中国”网站（www.creditchina.gov.cn）及中国政府采购网（www.ccgp.gov.cn）；</w:t>
      </w:r>
    </w:p>
    <w:p w14:paraId="108F9B98">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jc w:val="left"/>
        <w:textAlignment w:val="auto"/>
        <w:rPr>
          <w:rFonts w:hint="eastAsia" w:ascii="国标仿宋-GB/T 2312" w:hAnsi="国标仿宋-GB/T 2312" w:eastAsia="国标仿宋-GB/T 2312" w:cs="国标仿宋-GB/T 2312"/>
          <w:kern w:val="0"/>
          <w:sz w:val="32"/>
          <w:szCs w:val="32"/>
          <w:lang w:val="en-US" w:eastAsia="zh-CN"/>
        </w:rPr>
      </w:pPr>
      <w:r>
        <w:rPr>
          <w:rFonts w:hint="eastAsia" w:ascii="国标仿宋-GB/T 2312" w:hAnsi="国标仿宋-GB/T 2312" w:eastAsia="国标仿宋-GB/T 2312" w:cs="国标仿宋-GB/T 2312"/>
          <w:kern w:val="0"/>
          <w:sz w:val="32"/>
          <w:szCs w:val="32"/>
          <w:lang w:val="en-US" w:eastAsia="zh-CN"/>
        </w:rPr>
        <w:t>6.采购人认为必要的其他事项。</w:t>
      </w:r>
    </w:p>
    <w:p w14:paraId="2AB0EBEE">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四、</w:t>
      </w:r>
      <w:r>
        <w:rPr>
          <w:rFonts w:hint="eastAsia" w:ascii="国标黑体" w:hAnsi="国标黑体" w:eastAsia="国标黑体" w:cs="国标黑体"/>
          <w:b/>
          <w:bCs/>
          <w:kern w:val="0"/>
          <w:sz w:val="32"/>
          <w:szCs w:val="32"/>
          <w:lang w:val="en-US" w:eastAsia="zh-CN"/>
        </w:rPr>
        <w:t>询价文件获取</w:t>
      </w:r>
    </w:p>
    <w:p w14:paraId="2F336B2A">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仿宋" w:hAnsi="仿宋" w:eastAsia="仿宋"/>
          <w:sz w:val="32"/>
          <w:szCs w:val="32"/>
          <w:lang w:val="en-US" w:eastAsia="zh-CN"/>
        </w:rPr>
      </w:pPr>
      <w:r>
        <w:rPr>
          <w:rFonts w:hint="eastAsia" w:ascii="国标仿宋-GB/T 2312" w:hAnsi="国标仿宋-GB/T 2312" w:eastAsia="国标仿宋-GB/T 2312" w:cs="国标仿宋-GB/T 2312"/>
          <w:kern w:val="0"/>
          <w:sz w:val="32"/>
          <w:szCs w:val="32"/>
          <w:lang w:val="en-US" w:eastAsia="zh-CN"/>
        </w:rPr>
        <w:t>本项目响应文件由贵阳市农业农垦投资发展集团有限公司门户网站(https://gyntjt.com)发布，供应商可在本公告末端自行下载，各供应商在收到相关询价文件后，需按规定提交报价文件</w:t>
      </w:r>
      <w:r>
        <w:rPr>
          <w:rFonts w:hint="eastAsia" w:ascii="仿宋" w:hAnsi="仿宋" w:eastAsia="仿宋"/>
          <w:sz w:val="32"/>
          <w:szCs w:val="32"/>
          <w:lang w:val="en-US" w:eastAsia="zh-CN"/>
        </w:rPr>
        <w:t>。</w:t>
      </w:r>
    </w:p>
    <w:p w14:paraId="2A576F16">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五、报</w:t>
      </w:r>
      <w:r>
        <w:rPr>
          <w:rFonts w:hint="eastAsia" w:ascii="国标黑体" w:hAnsi="国标黑体" w:eastAsia="国标黑体" w:cs="国标黑体"/>
          <w:b/>
          <w:bCs/>
          <w:kern w:val="0"/>
          <w:sz w:val="32"/>
          <w:szCs w:val="32"/>
          <w:lang w:val="en-US" w:eastAsia="zh-CN"/>
        </w:rPr>
        <w:t>价文件递交</w:t>
      </w:r>
    </w:p>
    <w:p w14:paraId="012B1BA6">
      <w:pPr>
        <w:keepNext w:val="0"/>
        <w:keepLines w:val="0"/>
        <w:pageBreakBefore w:val="0"/>
        <w:widowControl w:val="0"/>
        <w:kinsoku/>
        <w:wordWrap/>
        <w:overflowPunct/>
        <w:topLinePunct w:val="0"/>
        <w:autoSpaceDE/>
        <w:autoSpaceDN/>
        <w:bidi w:val="0"/>
        <w:adjustRightInd/>
        <w:snapToGrid w:val="0"/>
        <w:spacing w:line="560" w:lineRule="atLeast"/>
        <w:ind w:firstLine="601"/>
        <w:jc w:val="left"/>
        <w:textAlignment w:val="auto"/>
        <w:rPr>
          <w:rFonts w:ascii="仿宋" w:hAnsi="仿宋" w:eastAsia="仿宋" w:cs="仿宋"/>
          <w:bCs/>
          <w:color w:val="000000" w:themeColor="text1"/>
          <w:sz w:val="32"/>
          <w:szCs w:val="32"/>
        </w:rPr>
      </w:pPr>
      <w:r>
        <w:rPr>
          <w:rFonts w:hint="eastAsia" w:ascii="仿宋" w:hAnsi="仿宋" w:eastAsia="仿宋"/>
          <w:color w:val="000000" w:themeColor="text1"/>
          <w:sz w:val="32"/>
          <w:szCs w:val="32"/>
        </w:rPr>
        <w:t>报送地点：</w:t>
      </w:r>
      <w:r>
        <w:rPr>
          <w:rFonts w:hint="eastAsia" w:ascii="仿宋" w:hAnsi="仿宋" w:eastAsia="仿宋" w:cs="仿宋"/>
          <w:bCs/>
          <w:color w:val="000000" w:themeColor="text1"/>
          <w:sz w:val="32"/>
          <w:szCs w:val="32"/>
        </w:rPr>
        <w:t>贵阳市农业农垦投资发展集团有限公司</w:t>
      </w:r>
      <w:r>
        <w:rPr>
          <w:rFonts w:hint="eastAsia" w:ascii="仿宋" w:hAnsi="仿宋" w:eastAsia="仿宋" w:cs="仿宋"/>
          <w:bCs/>
          <w:color w:val="000000" w:themeColor="text1"/>
          <w:sz w:val="32"/>
          <w:szCs w:val="32"/>
          <w:lang w:eastAsia="zh-CN"/>
        </w:rPr>
        <w:t>安全生产和维稳</w:t>
      </w:r>
      <w:r>
        <w:rPr>
          <w:rFonts w:hint="eastAsia" w:ascii="仿宋" w:hAnsi="仿宋" w:eastAsia="仿宋" w:cs="仿宋"/>
          <w:bCs/>
          <w:color w:val="000000" w:themeColor="text1"/>
          <w:sz w:val="32"/>
          <w:szCs w:val="32"/>
        </w:rPr>
        <w:t>部。</w:t>
      </w:r>
    </w:p>
    <w:p w14:paraId="108F11D0">
      <w:pPr>
        <w:keepNext w:val="0"/>
        <w:keepLines w:val="0"/>
        <w:pageBreakBefore w:val="0"/>
        <w:widowControl w:val="0"/>
        <w:kinsoku/>
        <w:wordWrap/>
        <w:overflowPunct/>
        <w:topLinePunct w:val="0"/>
        <w:autoSpaceDE/>
        <w:autoSpaceDN/>
        <w:bidi w:val="0"/>
        <w:adjustRightInd/>
        <w:snapToGrid w:val="0"/>
        <w:spacing w:line="560" w:lineRule="atLeast"/>
        <w:ind w:firstLine="601"/>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报价截止时间：20</w:t>
      </w:r>
      <w:r>
        <w:rPr>
          <w:rFonts w:ascii="仿宋" w:hAnsi="仿宋" w:eastAsia="仿宋"/>
          <w:color w:val="000000" w:themeColor="text1"/>
          <w:sz w:val="32"/>
          <w:szCs w:val="32"/>
        </w:rPr>
        <w:t>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val="en-US" w:eastAsia="zh-CN"/>
        </w:rPr>
        <w:t>12</w:t>
      </w:r>
      <w:r>
        <w:rPr>
          <w:rFonts w:hint="eastAsia" w:ascii="仿宋" w:hAnsi="仿宋" w:eastAsia="仿宋"/>
          <w:color w:val="000000" w:themeColor="text1"/>
          <w:sz w:val="32"/>
          <w:szCs w:val="32"/>
        </w:rPr>
        <w:t>月</w:t>
      </w:r>
      <w:r>
        <w:rPr>
          <w:rFonts w:hint="eastAsia" w:ascii="仿宋" w:hAnsi="仿宋" w:eastAsia="仿宋"/>
          <w:color w:val="000000" w:themeColor="text1"/>
          <w:sz w:val="32"/>
          <w:szCs w:val="32"/>
          <w:lang w:val="en-US" w:eastAsia="zh-CN"/>
        </w:rPr>
        <w:t>26</w:t>
      </w:r>
      <w:r>
        <w:rPr>
          <w:rFonts w:hint="eastAsia" w:ascii="仿宋" w:hAnsi="仿宋" w:eastAsia="仿宋"/>
          <w:color w:val="000000" w:themeColor="text1"/>
          <w:sz w:val="32"/>
          <w:szCs w:val="32"/>
        </w:rPr>
        <w:t>日</w:t>
      </w:r>
      <w:r>
        <w:rPr>
          <w:rFonts w:hint="eastAsia" w:ascii="仿宋" w:hAnsi="仿宋" w:eastAsia="仿宋"/>
          <w:color w:val="000000" w:themeColor="text1"/>
          <w:sz w:val="32"/>
          <w:szCs w:val="32"/>
          <w:lang w:val="en-US" w:eastAsia="zh-CN"/>
        </w:rPr>
        <w:t>下</w:t>
      </w:r>
      <w:r>
        <w:rPr>
          <w:rFonts w:hint="eastAsia" w:ascii="仿宋" w:hAnsi="仿宋" w:eastAsia="仿宋"/>
          <w:color w:val="000000" w:themeColor="text1"/>
          <w:sz w:val="32"/>
          <w:szCs w:val="32"/>
        </w:rPr>
        <w:t>午1</w:t>
      </w:r>
      <w:r>
        <w:rPr>
          <w:rFonts w:hint="eastAsia" w:ascii="仿宋" w:hAnsi="仿宋" w:eastAsia="仿宋"/>
          <w:color w:val="000000" w:themeColor="text1"/>
          <w:sz w:val="32"/>
          <w:szCs w:val="32"/>
          <w:lang w:val="en-US" w:eastAsia="zh-CN"/>
        </w:rPr>
        <w:t>4</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0，请于截止时间之前报送资料（在规定时间内未报价者视为主动弃权）。</w:t>
      </w:r>
    </w:p>
    <w:p w14:paraId="5F966181">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六、联系方式</w:t>
      </w:r>
    </w:p>
    <w:p w14:paraId="44E51C0E">
      <w:pPr>
        <w:keepNext w:val="0"/>
        <w:keepLines w:val="0"/>
        <w:pageBreakBefore w:val="0"/>
        <w:widowControl w:val="0"/>
        <w:kinsoku/>
        <w:wordWrap/>
        <w:overflowPunct/>
        <w:topLinePunct w:val="0"/>
        <w:autoSpaceDE/>
        <w:autoSpaceDN/>
        <w:bidi w:val="0"/>
        <w:adjustRightInd/>
        <w:snapToGrid w:val="0"/>
        <w:spacing w:line="560" w:lineRule="atLeast"/>
        <w:ind w:firstLine="601"/>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采购人：</w:t>
      </w:r>
      <w:r>
        <w:rPr>
          <w:rFonts w:hint="eastAsia" w:ascii="仿宋" w:hAnsi="仿宋" w:eastAsia="仿宋" w:cs="仿宋"/>
          <w:bCs/>
          <w:color w:val="000000" w:themeColor="text1"/>
          <w:sz w:val="32"/>
          <w:szCs w:val="32"/>
        </w:rPr>
        <w:t>贵阳市农业农垦投资发展集团有限公司</w:t>
      </w:r>
    </w:p>
    <w:p w14:paraId="48606F40">
      <w:pPr>
        <w:keepNext w:val="0"/>
        <w:keepLines w:val="0"/>
        <w:pageBreakBefore w:val="0"/>
        <w:widowControl w:val="0"/>
        <w:kinsoku/>
        <w:wordWrap/>
        <w:overflowPunct/>
        <w:topLinePunct w:val="0"/>
        <w:autoSpaceDE/>
        <w:autoSpaceDN/>
        <w:bidi w:val="0"/>
        <w:adjustRightInd/>
        <w:snapToGrid w:val="0"/>
        <w:spacing w:line="560" w:lineRule="atLeast"/>
        <w:ind w:firstLine="601"/>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地址：</w:t>
      </w:r>
      <w:r>
        <w:rPr>
          <w:rFonts w:ascii="仿宋" w:hAnsi="仿宋" w:eastAsia="仿宋"/>
          <w:color w:val="000000" w:themeColor="text1"/>
          <w:sz w:val="32"/>
          <w:szCs w:val="32"/>
        </w:rPr>
        <w:t>观山湖区长岭北路与金朱东路交界处贵州金融城金融ONE</w:t>
      </w:r>
      <w:r>
        <w:rPr>
          <w:rFonts w:hint="eastAsia" w:ascii="仿宋" w:hAnsi="仿宋" w:eastAsia="仿宋"/>
          <w:color w:val="000000" w:themeColor="text1"/>
          <w:sz w:val="32"/>
          <w:szCs w:val="32"/>
        </w:rPr>
        <w:t>17楼</w:t>
      </w:r>
    </w:p>
    <w:p w14:paraId="595EC4C8">
      <w:pPr>
        <w:keepNext w:val="0"/>
        <w:keepLines w:val="0"/>
        <w:pageBreakBefore w:val="0"/>
        <w:widowControl w:val="0"/>
        <w:kinsoku/>
        <w:wordWrap/>
        <w:overflowPunct/>
        <w:topLinePunct w:val="0"/>
        <w:autoSpaceDE/>
        <w:autoSpaceDN/>
        <w:bidi w:val="0"/>
        <w:adjustRightInd/>
        <w:snapToGrid w:val="0"/>
        <w:spacing w:line="560" w:lineRule="atLeast"/>
        <w:ind w:firstLine="601"/>
        <w:jc w:val="left"/>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rPr>
        <w:t>联系人：</w:t>
      </w:r>
      <w:r>
        <w:rPr>
          <w:rFonts w:hint="eastAsia" w:ascii="仿宋" w:hAnsi="仿宋" w:eastAsia="仿宋"/>
          <w:color w:val="000000" w:themeColor="text1"/>
          <w:sz w:val="32"/>
          <w:szCs w:val="32"/>
          <w:lang w:val="en-US" w:eastAsia="zh-CN"/>
        </w:rPr>
        <w:t>李先生                 联系电话：18508561002</w:t>
      </w:r>
    </w:p>
    <w:p w14:paraId="4F0524EA">
      <w:pPr>
        <w:keepNext w:val="0"/>
        <w:keepLines w:val="0"/>
        <w:pageBreakBefore w:val="0"/>
        <w:widowControl w:val="0"/>
        <w:kinsoku/>
        <w:wordWrap/>
        <w:overflowPunct/>
        <w:topLinePunct w:val="0"/>
        <w:autoSpaceDE/>
        <w:autoSpaceDN/>
        <w:bidi w:val="0"/>
        <w:adjustRightInd/>
        <w:snapToGrid w:val="0"/>
        <w:spacing w:line="560" w:lineRule="atLeast"/>
        <w:ind w:firstLine="601"/>
        <w:jc w:val="left"/>
        <w:textAlignment w:val="auto"/>
        <w:rPr>
          <w:rFonts w:hint="default" w:ascii="仿宋" w:hAnsi="仿宋" w:eastAsia="仿宋"/>
          <w:color w:val="000000" w:themeColor="text1"/>
          <w:sz w:val="32"/>
          <w:szCs w:val="32"/>
          <w:lang w:val="en-US" w:eastAsia="zh-CN"/>
        </w:rPr>
      </w:pPr>
    </w:p>
    <w:p w14:paraId="1A1FB92E">
      <w:pPr>
        <w:keepNext w:val="0"/>
        <w:keepLines w:val="0"/>
        <w:pageBreakBefore w:val="0"/>
        <w:widowControl w:val="0"/>
        <w:kinsoku/>
        <w:wordWrap/>
        <w:overflowPunct/>
        <w:topLinePunct w:val="0"/>
        <w:autoSpaceDE/>
        <w:autoSpaceDN/>
        <w:bidi w:val="0"/>
        <w:adjustRightInd/>
        <w:snapToGrid w:val="0"/>
        <w:spacing w:line="560" w:lineRule="atLeast"/>
        <w:ind w:firstLine="601"/>
        <w:jc w:val="left"/>
        <w:textAlignment w:val="auto"/>
        <w:rPr>
          <w:rFonts w:hint="default" w:ascii="仿宋" w:hAnsi="仿宋" w:eastAsia="仿宋"/>
          <w:color w:val="000000" w:themeColor="text1"/>
          <w:sz w:val="32"/>
          <w:szCs w:val="32"/>
          <w:lang w:val="en-US" w:eastAsia="zh-CN"/>
        </w:rPr>
      </w:pPr>
    </w:p>
    <w:p w14:paraId="1EA06D60">
      <w:pPr>
        <w:keepNext w:val="0"/>
        <w:keepLines w:val="0"/>
        <w:pageBreakBefore w:val="0"/>
        <w:widowControl w:val="0"/>
        <w:kinsoku/>
        <w:wordWrap/>
        <w:overflowPunct/>
        <w:topLinePunct w:val="0"/>
        <w:autoSpaceDE/>
        <w:autoSpaceDN/>
        <w:bidi w:val="0"/>
        <w:adjustRightInd/>
        <w:snapToGrid w:val="0"/>
        <w:spacing w:line="560" w:lineRule="atLeast"/>
        <w:jc w:val="right"/>
        <w:textAlignment w:val="auto"/>
        <w:rPr>
          <w:rFonts w:ascii="仿宋" w:hAnsi="仿宋" w:eastAsia="仿宋"/>
          <w:color w:val="000000" w:themeColor="text1"/>
          <w:sz w:val="28"/>
          <w:szCs w:val="28"/>
        </w:rPr>
      </w:pPr>
      <w:r>
        <w:rPr>
          <w:rFonts w:hint="eastAsia" w:ascii="仿宋" w:hAnsi="仿宋" w:eastAsia="仿宋"/>
          <w:color w:val="000000" w:themeColor="text1"/>
          <w:sz w:val="32"/>
          <w:szCs w:val="32"/>
        </w:rPr>
        <w:t>贵阳市农业农垦投资发展集团有限公司</w:t>
      </w:r>
    </w:p>
    <w:p w14:paraId="1821B65D">
      <w:pPr>
        <w:keepNext w:val="0"/>
        <w:keepLines w:val="0"/>
        <w:pageBreakBefore w:val="0"/>
        <w:kinsoku/>
        <w:wordWrap/>
        <w:overflowPunct/>
        <w:topLinePunct w:val="0"/>
        <w:autoSpaceDE/>
        <w:autoSpaceDN/>
        <w:bidi w:val="0"/>
        <w:spacing w:line="560" w:lineRule="atLeast"/>
        <w:jc w:val="left"/>
        <w:textAlignment w:val="auto"/>
        <w:rPr>
          <w:rFonts w:hint="eastAsia" w:ascii="仿宋" w:hAnsi="仿宋" w:eastAsia="仿宋"/>
          <w:b/>
          <w:color w:val="000000" w:themeColor="text1"/>
          <w:sz w:val="32"/>
          <w:szCs w:val="32"/>
        </w:rPr>
      </w:pPr>
      <w:r>
        <w:rPr>
          <w:rFonts w:hint="eastAsia" w:ascii="仿宋" w:hAnsi="仿宋" w:eastAsia="仿宋"/>
          <w:b/>
          <w:color w:val="000000" w:themeColor="text1"/>
          <w:sz w:val="32"/>
          <w:szCs w:val="32"/>
        </w:rPr>
        <w:br w:type="page"/>
      </w:r>
    </w:p>
    <w:p w14:paraId="1C3B92A8">
      <w:pPr>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rPr>
      </w:pPr>
      <w:r>
        <w:rPr>
          <w:rFonts w:hint="eastAsia" w:ascii="方正小标宋简体" w:hAnsi="方正小标宋简体" w:eastAsia="方正小标宋简体" w:cs="方正小标宋简体"/>
          <w:bCs/>
          <w:color w:val="000000" w:themeColor="text1"/>
          <w:kern w:val="0"/>
          <w:sz w:val="44"/>
          <w:szCs w:val="44"/>
          <w:lang w:val="en-US" w:eastAsia="zh-CN"/>
        </w:rPr>
        <w:t>报价须知</w:t>
      </w:r>
    </w:p>
    <w:p w14:paraId="2F445338">
      <w:pPr>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rPr>
      </w:pPr>
    </w:p>
    <w:p w14:paraId="25DAEB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一、说  明</w:t>
      </w:r>
    </w:p>
    <w:p w14:paraId="0E2BE7CF">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1．适用范围</w:t>
      </w:r>
    </w:p>
    <w:p w14:paraId="66CA22C8">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1.1本询价文件适用于本询价文件的采购项目。</w:t>
      </w:r>
    </w:p>
    <w:p w14:paraId="3E6FC22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2．定义</w:t>
      </w:r>
    </w:p>
    <w:p w14:paraId="42F19D77">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2.1“报价人”是指响应本文件要求，参加询价的法人或者其他组织。</w:t>
      </w:r>
    </w:p>
    <w:p w14:paraId="12CB515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2.2合格的“报价人”是指：满足前文所述报价人资格要求的法人或者其他组织。</w:t>
      </w:r>
    </w:p>
    <w:p w14:paraId="73B89AD4">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2.3“成交供应商”是指经法定程序确定并授予合同的报价人。</w:t>
      </w:r>
    </w:p>
    <w:p w14:paraId="07B4193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2.4“报价文件”是指：供应商根据本文件要求，编制包含报价、技术和服务等所有内容的实质性响应文件。</w:t>
      </w:r>
    </w:p>
    <w:p w14:paraId="61B8148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3．合格的服务</w:t>
      </w:r>
    </w:p>
    <w:p w14:paraId="2A9E10C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合格的服务是指：报价响应人若成为本采购项目的最终成交供应商，必须确保项目组员具备与项目相适应的的胜任能力。</w:t>
      </w:r>
    </w:p>
    <w:p w14:paraId="6C14CD6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4．报价费用</w:t>
      </w:r>
    </w:p>
    <w:p w14:paraId="25572503">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报价人应承担所有与准备和参加报价有关的费用。不论报价的结果如何，采购人均无义务和责任承担这些费用。</w:t>
      </w:r>
    </w:p>
    <w:p w14:paraId="263C3D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二、询价文件</w:t>
      </w:r>
    </w:p>
    <w:p w14:paraId="32F0F3C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1．询价文件的构成</w:t>
      </w:r>
    </w:p>
    <w:p w14:paraId="2315FA3F">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1.1询价文件由下列文件以及在报价过程中发出的修正和补充文件组成：</w:t>
      </w:r>
    </w:p>
    <w:p w14:paraId="54957DCE">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1）报价邀请函</w:t>
      </w:r>
    </w:p>
    <w:p w14:paraId="5CABA91B">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2）采购项目内容</w:t>
      </w:r>
    </w:p>
    <w:p w14:paraId="71835584">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3）报价须知</w:t>
      </w:r>
    </w:p>
    <w:p w14:paraId="3BB64DCF">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4）报价文件格式</w:t>
      </w:r>
    </w:p>
    <w:p w14:paraId="00F7B28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5） 在询价过程中由采购人发出的修正和补充文件等</w:t>
      </w:r>
    </w:p>
    <w:p w14:paraId="2A58F15F">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79BA97D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三、报价文件的编制</w:t>
      </w:r>
    </w:p>
    <w:p w14:paraId="5F628730">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1．报价文件编制基本要求</w:t>
      </w:r>
    </w:p>
    <w:p w14:paraId="2968A4B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1.1 报价人对报价文件的编制应按要求装订和封装。</w:t>
      </w:r>
    </w:p>
    <w:p w14:paraId="73F9FA4F">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1.2各报价单位报价应以元为单位。</w:t>
      </w:r>
    </w:p>
    <w:p w14:paraId="54A120D0">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1.3报价文件必须按本文件的全部内容，包括所有的补充通知及附件进行编制。</w:t>
      </w:r>
    </w:p>
    <w:p w14:paraId="64AC680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1.4如因报价人只填写和提供了本文件要求的部分内容和附件，而给报价造成困难的，其可能导致的结果和责任由报价人自行承担。</w:t>
      </w:r>
    </w:p>
    <w:p w14:paraId="00010313">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1.5按照采购要求响应报价的单位只能提供一份报价方案，如出现多份方案的报价者，则取消此报价单位的报价资格。</w:t>
      </w:r>
    </w:p>
    <w:p w14:paraId="11E87E02">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2．报价文件的组成</w:t>
      </w:r>
    </w:p>
    <w:p w14:paraId="2198470F">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2.1询价响应函;(附件1)</w:t>
      </w:r>
    </w:p>
    <w:p w14:paraId="78160DC0">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2.2询价响应承诺函;(附件2)</w:t>
      </w:r>
    </w:p>
    <w:p w14:paraId="1CC79828">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国标仿宋-GB/T 2312" w:hAnsi="国标仿宋-GB/T 2312" w:eastAsia="国标仿宋-GB/T 2312" w:cs="国标仿宋-GB/T 2312"/>
          <w:color w:val="000000" w:themeColor="text1"/>
          <w:sz w:val="32"/>
          <w:szCs w:val="32"/>
          <w:lang w:val="en-US" w:eastAsia="zh-CN"/>
        </w:rPr>
      </w:pPr>
      <w:r>
        <w:rPr>
          <w:rFonts w:hint="eastAsia" w:ascii="国标仿宋-GB/T 2312" w:hAnsi="国标仿宋-GB/T 2312" w:eastAsia="国标仿宋-GB/T 2312" w:cs="国标仿宋-GB/T 2312"/>
          <w:color w:val="000000" w:themeColor="text1"/>
          <w:sz w:val="32"/>
          <w:szCs w:val="32"/>
          <w:lang w:val="en-US" w:eastAsia="zh-CN"/>
        </w:rPr>
        <w:t>2.3消防应急自救包中包含消防应急器材清单；</w:t>
      </w:r>
      <w:r>
        <w:rPr>
          <w:rFonts w:hint="eastAsia" w:ascii="国标仿宋-GB/T 2312" w:hAnsi="国标仿宋-GB/T 2312" w:eastAsia="国标仿宋-GB/T 2312" w:cs="国标仿宋-GB/T 2312"/>
          <w:color w:val="000000" w:themeColor="text1"/>
          <w:sz w:val="32"/>
          <w:szCs w:val="32"/>
        </w:rPr>
        <w:t>(附件</w:t>
      </w:r>
      <w:r>
        <w:rPr>
          <w:rFonts w:hint="eastAsia" w:ascii="国标仿宋-GB/T 2312" w:hAnsi="国标仿宋-GB/T 2312" w:eastAsia="国标仿宋-GB/T 2312" w:cs="国标仿宋-GB/T 2312"/>
          <w:color w:val="000000" w:themeColor="text1"/>
          <w:sz w:val="32"/>
          <w:szCs w:val="32"/>
          <w:lang w:val="en-US" w:eastAsia="zh-CN"/>
        </w:rPr>
        <w:t>3</w:t>
      </w:r>
      <w:r>
        <w:rPr>
          <w:rFonts w:hint="eastAsia" w:ascii="国标仿宋-GB/T 2312" w:hAnsi="国标仿宋-GB/T 2312" w:eastAsia="国标仿宋-GB/T 2312" w:cs="国标仿宋-GB/T 2312"/>
          <w:color w:val="000000" w:themeColor="text1"/>
          <w:sz w:val="32"/>
          <w:szCs w:val="32"/>
        </w:rPr>
        <w:t>)</w:t>
      </w:r>
    </w:p>
    <w:p w14:paraId="1030087C">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w:t>
      </w:r>
      <w:r>
        <w:rPr>
          <w:rFonts w:hint="eastAsia" w:ascii="国标仿宋-GB/T 2312" w:hAnsi="国标仿宋-GB/T 2312" w:eastAsia="国标仿宋-GB/T 2312" w:cs="国标仿宋-GB/T 2312"/>
          <w:color w:val="000000" w:themeColor="text1"/>
          <w:sz w:val="32"/>
          <w:szCs w:val="32"/>
          <w:lang w:val="en-US" w:eastAsia="zh-CN"/>
        </w:rPr>
        <w:t>4</w:t>
      </w:r>
      <w:r>
        <w:rPr>
          <w:rFonts w:hint="eastAsia" w:ascii="国标仿宋-GB/T 2312" w:hAnsi="国标仿宋-GB/T 2312" w:eastAsia="国标仿宋-GB/T 2312" w:cs="国标仿宋-GB/T 2312"/>
          <w:color w:val="000000" w:themeColor="text1"/>
          <w:sz w:val="32"/>
          <w:szCs w:val="32"/>
        </w:rPr>
        <w:t>报价人营业执照。</w:t>
      </w:r>
    </w:p>
    <w:p w14:paraId="70578E5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四、报价要求</w:t>
      </w:r>
    </w:p>
    <w:p w14:paraId="4E2AC28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对于本文件中未列明，而报价人认为必需的费用也需列入总报价。在合同实施时，采购人将不予支付成交供应商没有列入的项目费用，并认为此项目的费用已包括在总报价中。</w:t>
      </w:r>
    </w:p>
    <w:p w14:paraId="30854E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五、报价文件的份数、封装和递交</w:t>
      </w:r>
    </w:p>
    <w:p w14:paraId="0A8C2130">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1．报价文件的份数和封装</w:t>
      </w:r>
    </w:p>
    <w:p w14:paraId="280EE5BD">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1.1报价人应将《报价文件》一份单独密封提交，并在密封袋上清晰标明“报价文件”字样。</w:t>
      </w:r>
    </w:p>
    <w:p w14:paraId="4FC0D0CE">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1.2报价文件的封装袋正面应当标明：</w:t>
      </w:r>
    </w:p>
    <w:p w14:paraId="2E2CD359">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1）项目名称；</w:t>
      </w:r>
    </w:p>
    <w:p w14:paraId="52328BDB">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2）报价</w:t>
      </w:r>
      <w:r>
        <w:rPr>
          <w:rFonts w:hint="eastAsia" w:ascii="国标仿宋-GB/T 2312" w:hAnsi="国标仿宋-GB/T 2312" w:eastAsia="国标仿宋-GB/T 2312" w:cs="国标仿宋-GB/T 2312"/>
          <w:color w:val="000000" w:themeColor="text1"/>
          <w:sz w:val="32"/>
          <w:szCs w:val="32"/>
          <w:lang w:eastAsia="zh-CN"/>
        </w:rPr>
        <w:t>单位</w:t>
      </w:r>
      <w:r>
        <w:rPr>
          <w:rFonts w:hint="eastAsia" w:ascii="国标仿宋-GB/T 2312" w:hAnsi="国标仿宋-GB/T 2312" w:eastAsia="国标仿宋-GB/T 2312" w:cs="国标仿宋-GB/T 2312"/>
          <w:color w:val="000000" w:themeColor="text1"/>
          <w:sz w:val="32"/>
          <w:szCs w:val="32"/>
        </w:rPr>
        <w:t>全称；</w:t>
      </w:r>
    </w:p>
    <w:p w14:paraId="05CB7671">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3）日期。</w:t>
      </w:r>
    </w:p>
    <w:p w14:paraId="6A5DAB06">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2．报价文件的递交</w:t>
      </w:r>
    </w:p>
    <w:p w14:paraId="1068E472">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2.1所有报价文件应于《报价邀请函》中规定的截止时点前递交。</w:t>
      </w:r>
    </w:p>
    <w:p w14:paraId="1C2551F0">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r>
        <w:rPr>
          <w:rFonts w:hint="eastAsia" w:ascii="国标仿宋-GB/T 2312" w:hAnsi="国标仿宋-GB/T 2312" w:eastAsia="国标仿宋-GB/T 2312" w:cs="国标仿宋-GB/T 2312"/>
          <w:color w:val="000000" w:themeColor="text1"/>
          <w:sz w:val="32"/>
          <w:szCs w:val="32"/>
        </w:rPr>
        <w:t>2.2迟交的报价文件，询价小组将拒收或原封退回在其规定的递交报价文件截止时点之后收到的任何报价文件。</w:t>
      </w:r>
    </w:p>
    <w:p w14:paraId="5B445EA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国标黑体" w:hAnsi="国标黑体" w:eastAsia="国标黑体" w:cs="国标黑体"/>
          <w:b w:val="0"/>
          <w:bCs/>
          <w:color w:val="000000" w:themeColor="text1"/>
          <w:sz w:val="32"/>
          <w:szCs w:val="32"/>
          <w:lang w:val="en-US" w:eastAsia="zh-CN"/>
        </w:rPr>
      </w:pPr>
      <w:r>
        <w:rPr>
          <w:rFonts w:hint="eastAsia" w:ascii="国标黑体" w:hAnsi="国标黑体" w:eastAsia="国标黑体" w:cs="国标黑体"/>
          <w:b w:val="0"/>
          <w:bCs/>
          <w:color w:val="000000" w:themeColor="text1"/>
          <w:sz w:val="32"/>
          <w:szCs w:val="32"/>
          <w:lang w:val="en-US" w:eastAsia="zh-CN"/>
        </w:rPr>
        <w:t>六、确定成交供应商办法</w:t>
      </w:r>
    </w:p>
    <w:p w14:paraId="64F27E37">
      <w:pPr>
        <w:keepNext w:val="0"/>
        <w:keepLines w:val="0"/>
        <w:pageBreakBefore w:val="0"/>
        <w:kinsoku/>
        <w:wordWrap/>
        <w:overflowPunct/>
        <w:topLinePunct w:val="0"/>
        <w:autoSpaceDE/>
        <w:autoSpaceDN/>
        <w:bidi w:val="0"/>
        <w:spacing w:after="0" w:line="520" w:lineRule="exact"/>
        <w:ind w:firstLine="640" w:firstLineChars="200"/>
        <w:jc w:val="left"/>
        <w:textAlignment w:val="auto"/>
        <w:rPr>
          <w:rFonts w:hint="eastAsia" w:ascii="国标仿宋-GB/T 2312" w:hAnsi="国标仿宋-GB/T 2312" w:eastAsia="国标仿宋-GB/T 2312" w:cs="国标仿宋-GB/T 2312"/>
          <w:color w:val="000000" w:themeColor="text1"/>
          <w:sz w:val="32"/>
          <w:szCs w:val="32"/>
        </w:rPr>
      </w:pPr>
      <w:bookmarkStart w:id="0" w:name="_Hlk41467865"/>
      <w:r>
        <w:rPr>
          <w:rFonts w:hint="eastAsia" w:ascii="国标仿宋-GB/T 2312" w:hAnsi="国标仿宋-GB/T 2312" w:eastAsia="国标仿宋-GB/T 2312" w:cs="国标仿宋-GB/T 2312"/>
          <w:sz w:val="32"/>
          <w:szCs w:val="32"/>
        </w:rPr>
        <w:t>询价工作组成员根据各单位的报价资料进行比较，以符合采购要求且报价最低的成为成交人。如出现两个或两个以上相同的最低报价时，则以同等价格下配置更优、质量更高者为成交人</w:t>
      </w:r>
      <w:r>
        <w:rPr>
          <w:rFonts w:hint="eastAsia" w:ascii="国标仿宋-GB/T 2312" w:hAnsi="国标仿宋-GB/T 2312" w:eastAsia="国标仿宋-GB/T 2312" w:cs="国标仿宋-GB/T 2312"/>
          <w:sz w:val="32"/>
          <w:szCs w:val="32"/>
          <w:lang w:eastAsia="zh-CN"/>
        </w:rPr>
        <w:t>；</w:t>
      </w:r>
      <w:r>
        <w:rPr>
          <w:rFonts w:hint="eastAsia" w:ascii="国标仿宋-GB/T 2312" w:hAnsi="国标仿宋-GB/T 2312" w:eastAsia="国标仿宋-GB/T 2312" w:cs="国标仿宋-GB/T 2312"/>
          <w:sz w:val="32"/>
          <w:szCs w:val="32"/>
        </w:rPr>
        <w:t>若以上两项均相同，由</w:t>
      </w:r>
      <w:r>
        <w:rPr>
          <w:rFonts w:hint="eastAsia" w:ascii="国标仿宋-GB/T 2312" w:hAnsi="国标仿宋-GB/T 2312" w:eastAsia="国标仿宋-GB/T 2312" w:cs="国标仿宋-GB/T 2312"/>
          <w:sz w:val="32"/>
          <w:szCs w:val="32"/>
          <w:lang w:val="en-US" w:eastAsia="zh-CN"/>
        </w:rPr>
        <w:t>工作组进行投票，按照少数服从多数的原则推荐</w:t>
      </w:r>
      <w:r>
        <w:rPr>
          <w:rFonts w:hint="eastAsia" w:ascii="国标仿宋-GB/T 2312" w:hAnsi="国标仿宋-GB/T 2312" w:eastAsia="国标仿宋-GB/T 2312" w:cs="国标仿宋-GB/T 2312"/>
          <w:sz w:val="32"/>
          <w:szCs w:val="32"/>
        </w:rPr>
        <w:t>成交人</w:t>
      </w:r>
      <w:bookmarkEnd w:id="0"/>
      <w:r>
        <w:rPr>
          <w:rFonts w:hint="eastAsia" w:ascii="国标仿宋-GB/T 2312" w:hAnsi="国标仿宋-GB/T 2312" w:eastAsia="国标仿宋-GB/T 2312" w:cs="国标仿宋-GB/T 2312"/>
          <w:color w:val="000000" w:themeColor="text1"/>
          <w:sz w:val="32"/>
          <w:szCs w:val="32"/>
        </w:rPr>
        <w:t>。</w:t>
      </w:r>
      <w:r>
        <w:rPr>
          <w:rFonts w:hint="eastAsia" w:ascii="国标仿宋-GB/T 2312" w:hAnsi="国标仿宋-GB/T 2312" w:eastAsia="国标仿宋-GB/T 2312" w:cs="国标仿宋-GB/T 2312"/>
          <w:color w:val="000000"/>
          <w:sz w:val="32"/>
          <w:szCs w:val="32"/>
        </w:rPr>
        <w:t xml:space="preserve"> </w:t>
      </w:r>
    </w:p>
    <w:p w14:paraId="49E88ED7">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eastAsia" w:ascii="国标仿宋-GB/T 2312" w:hAnsi="国标仿宋-GB/T 2312" w:eastAsia="国标仿宋-GB/T 2312" w:cs="国标仿宋-GB/T 2312"/>
          <w:color w:val="000000" w:themeColor="text1"/>
          <w:sz w:val="32"/>
          <w:szCs w:val="32"/>
        </w:rPr>
      </w:pPr>
    </w:p>
    <w:p w14:paraId="5920A3B0">
      <w:pPr>
        <w:snapToGrid w:val="0"/>
        <w:spacing w:line="600" w:lineRule="exact"/>
        <w:ind w:firstLine="600"/>
        <w:jc w:val="left"/>
        <w:rPr>
          <w:rFonts w:ascii="仿宋" w:hAnsi="仿宋" w:eastAsia="仿宋"/>
          <w:color w:val="000000" w:themeColor="text1"/>
          <w:sz w:val="28"/>
          <w:szCs w:val="28"/>
        </w:rPr>
      </w:pPr>
    </w:p>
    <w:p w14:paraId="6B07BD47">
      <w:pPr>
        <w:snapToGrid w:val="0"/>
        <w:spacing w:line="520" w:lineRule="exact"/>
        <w:ind w:firstLine="601"/>
        <w:jc w:val="left"/>
        <w:rPr>
          <w:rFonts w:ascii="仿宋" w:hAnsi="仿宋" w:eastAsia="仿宋"/>
          <w:color w:val="000000" w:themeColor="text1"/>
          <w:sz w:val="28"/>
          <w:szCs w:val="28"/>
        </w:rPr>
      </w:pPr>
    </w:p>
    <w:p w14:paraId="17649E3C">
      <w:pPr>
        <w:snapToGrid w:val="0"/>
        <w:spacing w:line="520" w:lineRule="exact"/>
        <w:ind w:firstLine="601"/>
        <w:jc w:val="left"/>
        <w:rPr>
          <w:rFonts w:ascii="仿宋" w:hAnsi="仿宋" w:eastAsia="仿宋"/>
          <w:color w:val="000000" w:themeColor="text1"/>
          <w:sz w:val="28"/>
          <w:szCs w:val="28"/>
        </w:rPr>
      </w:pPr>
    </w:p>
    <w:p w14:paraId="5243CF86">
      <w:pPr>
        <w:snapToGrid w:val="0"/>
        <w:spacing w:line="520" w:lineRule="exact"/>
        <w:ind w:firstLine="601"/>
        <w:jc w:val="left"/>
        <w:rPr>
          <w:rFonts w:ascii="仿宋" w:hAnsi="仿宋" w:eastAsia="仿宋"/>
          <w:color w:val="000000" w:themeColor="text1"/>
          <w:sz w:val="28"/>
          <w:szCs w:val="28"/>
        </w:rPr>
      </w:pPr>
    </w:p>
    <w:p w14:paraId="5926C585">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附件1：</w:t>
      </w:r>
    </w:p>
    <w:p w14:paraId="286531D3">
      <w:pPr>
        <w:snapToGrid w:val="0"/>
        <w:spacing w:line="600" w:lineRule="exact"/>
        <w:ind w:firstLine="600"/>
        <w:jc w:val="center"/>
        <w:rPr>
          <w:rFonts w:ascii="仿宋" w:hAnsi="仿宋" w:eastAsia="仿宋"/>
          <w:b/>
          <w:color w:val="000000" w:themeColor="text1"/>
          <w:sz w:val="28"/>
          <w:szCs w:val="28"/>
        </w:rPr>
      </w:pPr>
      <w:r>
        <w:rPr>
          <w:rFonts w:hint="eastAsia" w:ascii="仿宋" w:hAnsi="仿宋" w:eastAsia="仿宋"/>
          <w:b/>
          <w:color w:val="000000" w:themeColor="text1"/>
          <w:sz w:val="28"/>
          <w:szCs w:val="28"/>
        </w:rPr>
        <w:t>询价响应函</w:t>
      </w:r>
    </w:p>
    <w:p w14:paraId="5E75A33A">
      <w:pPr>
        <w:snapToGrid w:val="0"/>
        <w:spacing w:line="600" w:lineRule="exact"/>
        <w:ind w:firstLine="600"/>
        <w:jc w:val="left"/>
        <w:rPr>
          <w:rFonts w:ascii="仿宋" w:hAnsi="仿宋" w:eastAsia="仿宋"/>
          <w:color w:val="000000" w:themeColor="text1"/>
          <w:sz w:val="28"/>
          <w:szCs w:val="28"/>
          <w:u w:val="single"/>
        </w:rPr>
      </w:pPr>
      <w:r>
        <w:rPr>
          <w:rFonts w:hint="eastAsia" w:ascii="仿宋" w:hAnsi="仿宋" w:eastAsia="仿宋"/>
          <w:color w:val="000000" w:themeColor="text1"/>
          <w:sz w:val="28"/>
          <w:szCs w:val="28"/>
        </w:rPr>
        <w:t>致：</w:t>
      </w:r>
      <w:r>
        <w:rPr>
          <w:rFonts w:hint="eastAsia" w:ascii="仿宋" w:hAnsi="仿宋" w:eastAsia="仿宋"/>
          <w:sz w:val="28"/>
          <w:szCs w:val="28"/>
          <w:u w:val="single"/>
        </w:rPr>
        <w:t>贵阳市农业农垦投资发展集团有限公司</w:t>
      </w:r>
    </w:p>
    <w:p w14:paraId="74BD9603">
      <w:pPr>
        <w:snapToGrid w:val="0"/>
        <w:spacing w:line="520" w:lineRule="exact"/>
        <w:ind w:firstLine="560" w:firstLineChars="200"/>
        <w:jc w:val="left"/>
        <w:rPr>
          <w:rFonts w:ascii="仿宋" w:hAnsi="仿宋" w:eastAsia="仿宋" w:cs="仿宋"/>
          <w:bCs/>
          <w:color w:val="000000" w:themeColor="text1"/>
          <w:sz w:val="28"/>
          <w:szCs w:val="28"/>
          <w:u w:val="single"/>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我方收到并研究了贵单位的</w:t>
      </w:r>
      <w:r>
        <w:rPr>
          <w:rFonts w:hint="eastAsia" w:ascii="仿宋" w:hAnsi="仿宋" w:eastAsia="仿宋"/>
          <w:color w:val="000000" w:themeColor="text1"/>
          <w:sz w:val="28"/>
          <w:szCs w:val="28"/>
        </w:rPr>
        <w:t>询价</w:t>
      </w:r>
      <w:r>
        <w:rPr>
          <w:rFonts w:ascii="仿宋" w:hAnsi="仿宋" w:eastAsia="仿宋"/>
          <w:color w:val="000000" w:themeColor="text1"/>
          <w:sz w:val="28"/>
          <w:szCs w:val="28"/>
        </w:rPr>
        <w:t>文件，</w:t>
      </w:r>
      <w:r>
        <w:rPr>
          <w:rFonts w:hint="eastAsia" w:ascii="仿宋" w:hAnsi="仿宋" w:eastAsia="仿宋"/>
          <w:color w:val="000000" w:themeColor="text1"/>
          <w:sz w:val="28"/>
          <w:szCs w:val="28"/>
        </w:rPr>
        <w:t>遵照国家相关法律、法规及有关规定，</w:t>
      </w:r>
      <w:r>
        <w:rPr>
          <w:rFonts w:ascii="仿宋" w:hAnsi="仿宋" w:eastAsia="仿宋"/>
          <w:color w:val="000000" w:themeColor="text1"/>
          <w:sz w:val="28"/>
          <w:szCs w:val="28"/>
        </w:rPr>
        <w:t>我们对</w:t>
      </w:r>
      <w:r>
        <w:rPr>
          <w:rFonts w:hint="eastAsia" w:ascii="仿宋" w:hAnsi="仿宋" w:eastAsia="仿宋"/>
          <w:color w:val="000000" w:themeColor="text1"/>
          <w:sz w:val="28"/>
          <w:szCs w:val="28"/>
          <w:u w:val="single"/>
        </w:rPr>
        <w:t xml:space="preserve"> </w:t>
      </w:r>
      <w:r>
        <w:rPr>
          <w:rFonts w:hint="eastAsia" w:ascii="仿宋" w:hAnsi="仿宋" w:eastAsia="仿宋" w:cs="仿宋"/>
          <w:bCs/>
          <w:color w:val="000000" w:themeColor="text1"/>
          <w:sz w:val="28"/>
          <w:szCs w:val="28"/>
          <w:u w:val="single"/>
        </w:rPr>
        <w:t>贵阳市农业农垦投资发展集团有限公司</w:t>
      </w:r>
      <w:r>
        <w:rPr>
          <w:rFonts w:hint="eastAsia" w:ascii="仿宋" w:hAnsi="仿宋" w:eastAsia="仿宋" w:cs="仿宋"/>
          <w:bCs/>
          <w:color w:val="000000" w:themeColor="text1"/>
          <w:sz w:val="28"/>
          <w:szCs w:val="28"/>
          <w:u w:val="single"/>
          <w:lang w:val="en-US" w:eastAsia="zh-CN"/>
        </w:rPr>
        <w:t>消防应急自救包</w:t>
      </w:r>
      <w:r>
        <w:rPr>
          <w:rFonts w:hint="eastAsia" w:ascii="仿宋" w:hAnsi="仿宋" w:eastAsia="仿宋" w:cs="仿宋"/>
          <w:bCs/>
          <w:color w:val="000000" w:themeColor="text1"/>
          <w:sz w:val="28"/>
          <w:szCs w:val="28"/>
          <w:u w:val="single"/>
        </w:rPr>
        <w:t>采购</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rPr>
        <w:t>承担</w:t>
      </w:r>
      <w:r>
        <w:rPr>
          <w:rFonts w:hint="eastAsia" w:ascii="仿宋" w:hAnsi="仿宋" w:eastAsia="仿宋"/>
          <w:color w:val="000000" w:themeColor="text1"/>
          <w:sz w:val="28"/>
          <w:szCs w:val="28"/>
          <w:u w:val="single"/>
        </w:rPr>
        <w:t xml:space="preserve"> </w:t>
      </w:r>
      <w:r>
        <w:rPr>
          <w:rFonts w:hint="eastAsia" w:ascii="仿宋" w:hAnsi="仿宋" w:eastAsia="仿宋" w:cs="仿宋"/>
          <w:bCs/>
          <w:color w:val="000000" w:themeColor="text1"/>
          <w:sz w:val="28"/>
          <w:szCs w:val="28"/>
          <w:u w:val="single"/>
        </w:rPr>
        <w:t>贵阳市农业农垦投资发展集团有限公司</w:t>
      </w:r>
      <w:r>
        <w:rPr>
          <w:rFonts w:hint="eastAsia" w:ascii="仿宋" w:hAnsi="仿宋" w:eastAsia="仿宋" w:cs="仿宋"/>
          <w:bCs/>
          <w:color w:val="000000" w:themeColor="text1"/>
          <w:sz w:val="28"/>
          <w:szCs w:val="28"/>
          <w:u w:val="single"/>
          <w:lang w:val="en-US" w:eastAsia="zh-CN"/>
        </w:rPr>
        <w:t>消防应急自救包</w:t>
      </w:r>
      <w:r>
        <w:rPr>
          <w:rFonts w:hint="eastAsia" w:ascii="仿宋" w:hAnsi="仿宋" w:eastAsia="仿宋" w:cs="仿宋"/>
          <w:bCs/>
          <w:color w:val="000000" w:themeColor="text1"/>
          <w:sz w:val="28"/>
          <w:szCs w:val="28"/>
          <w:u w:val="single"/>
        </w:rPr>
        <w:t xml:space="preserve"> </w:t>
      </w:r>
      <w:r>
        <w:rPr>
          <w:rFonts w:ascii="仿宋" w:hAnsi="仿宋" w:eastAsia="仿宋"/>
          <w:color w:val="000000" w:themeColor="text1"/>
          <w:sz w:val="28"/>
          <w:szCs w:val="28"/>
        </w:rPr>
        <w:t>项目的</w:t>
      </w:r>
      <w:r>
        <w:rPr>
          <w:rFonts w:hint="eastAsia" w:ascii="仿宋" w:hAnsi="仿宋" w:eastAsia="仿宋"/>
          <w:color w:val="000000" w:themeColor="text1"/>
          <w:sz w:val="28"/>
          <w:szCs w:val="28"/>
          <w:lang w:eastAsia="zh-CN"/>
        </w:rPr>
        <w:t>供应</w:t>
      </w:r>
      <w:r>
        <w:rPr>
          <w:rFonts w:ascii="仿宋" w:hAnsi="仿宋" w:eastAsia="仿宋"/>
          <w:color w:val="000000" w:themeColor="text1"/>
          <w:sz w:val="28"/>
          <w:szCs w:val="28"/>
        </w:rPr>
        <w:t>任务，承诺严格执行</w:t>
      </w:r>
      <w:r>
        <w:rPr>
          <w:rFonts w:hint="eastAsia" w:ascii="仿宋" w:hAnsi="仿宋" w:eastAsia="仿宋"/>
          <w:color w:val="000000" w:themeColor="text1"/>
          <w:sz w:val="28"/>
          <w:szCs w:val="28"/>
        </w:rPr>
        <w:t>询价响应</w:t>
      </w:r>
      <w:r>
        <w:rPr>
          <w:rFonts w:ascii="仿宋" w:hAnsi="仿宋" w:eastAsia="仿宋"/>
          <w:color w:val="000000" w:themeColor="text1"/>
          <w:sz w:val="28"/>
          <w:szCs w:val="28"/>
        </w:rPr>
        <w:t>人的责任和义务。应由承包者承担的风险，我方在</w:t>
      </w:r>
      <w:r>
        <w:rPr>
          <w:rFonts w:hint="eastAsia" w:ascii="仿宋" w:hAnsi="仿宋" w:eastAsia="仿宋"/>
          <w:color w:val="000000" w:themeColor="text1"/>
          <w:sz w:val="28"/>
          <w:szCs w:val="28"/>
        </w:rPr>
        <w:t>响应</w:t>
      </w:r>
      <w:r>
        <w:rPr>
          <w:rFonts w:ascii="仿宋" w:hAnsi="仿宋" w:eastAsia="仿宋"/>
          <w:color w:val="000000" w:themeColor="text1"/>
          <w:sz w:val="28"/>
          <w:szCs w:val="28"/>
        </w:rPr>
        <w:t>报价中已列入费用。</w:t>
      </w:r>
    </w:p>
    <w:p w14:paraId="44B60A8E">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14:paraId="13E6B41F">
      <w:pPr>
        <w:snapToGrid w:val="0"/>
        <w:spacing w:line="600" w:lineRule="exact"/>
        <w:ind w:firstLine="600"/>
        <w:jc w:val="left"/>
        <w:rPr>
          <w:rFonts w:ascii="仿宋" w:hAnsi="仿宋" w:eastAsia="仿宋"/>
          <w:color w:val="000000" w:themeColor="text1"/>
          <w:sz w:val="28"/>
          <w:szCs w:val="28"/>
        </w:rPr>
      </w:pPr>
      <w:r>
        <w:rPr>
          <w:rFonts w:ascii="仿宋" w:hAnsi="仿宋" w:eastAsia="仿宋"/>
          <w:color w:val="000000" w:themeColor="text1"/>
          <w:sz w:val="28"/>
          <w:szCs w:val="28"/>
        </w:rPr>
        <w:t>3</w:t>
      </w:r>
      <w:r>
        <w:rPr>
          <w:rFonts w:hint="eastAsia" w:ascii="仿宋" w:hAnsi="仿宋" w:eastAsia="仿宋"/>
          <w:color w:val="000000" w:themeColor="text1"/>
          <w:sz w:val="28"/>
          <w:szCs w:val="28"/>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14:paraId="68774433">
      <w:pPr>
        <w:snapToGrid w:val="0"/>
        <w:spacing w:line="600" w:lineRule="exact"/>
        <w:ind w:firstLine="600"/>
        <w:jc w:val="left"/>
        <w:rPr>
          <w:rFonts w:ascii="仿宋" w:hAnsi="仿宋" w:eastAsia="仿宋"/>
          <w:color w:val="000000" w:themeColor="text1"/>
          <w:sz w:val="28"/>
          <w:szCs w:val="28"/>
        </w:rPr>
      </w:pPr>
      <w:r>
        <w:rPr>
          <w:rFonts w:ascii="仿宋" w:hAnsi="仿宋" w:eastAsia="仿宋"/>
          <w:color w:val="000000" w:themeColor="text1"/>
          <w:sz w:val="28"/>
          <w:szCs w:val="28"/>
        </w:rPr>
        <w:t>4</w:t>
      </w:r>
      <w:r>
        <w:rPr>
          <w:rFonts w:hint="eastAsia" w:ascii="仿宋" w:hAnsi="仿宋" w:eastAsia="仿宋"/>
          <w:color w:val="000000" w:themeColor="text1"/>
          <w:sz w:val="28"/>
          <w:szCs w:val="28"/>
        </w:rPr>
        <w:t>．如果我方成为最终成交人，我方承诺按照采购人要求完成，同时承诺不再另行收取费用;我方承诺在</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u w:val="single"/>
        </w:rPr>
        <w:t>日</w:t>
      </w:r>
      <w:r>
        <w:rPr>
          <w:rFonts w:hint="eastAsia" w:ascii="仿宋" w:hAnsi="仿宋" w:eastAsia="仿宋"/>
          <w:color w:val="000000" w:themeColor="text1"/>
          <w:sz w:val="28"/>
          <w:szCs w:val="28"/>
        </w:rPr>
        <w:t>内完成采购范围的内容并提供相应的</w:t>
      </w:r>
      <w:r>
        <w:rPr>
          <w:rFonts w:hint="eastAsia" w:ascii="仿宋" w:hAnsi="仿宋" w:eastAsia="仿宋"/>
          <w:color w:val="000000" w:themeColor="text1"/>
          <w:sz w:val="28"/>
          <w:szCs w:val="28"/>
          <w:lang w:eastAsia="zh-CN"/>
        </w:rPr>
        <w:t>物资</w:t>
      </w:r>
      <w:r>
        <w:rPr>
          <w:rFonts w:hint="eastAsia" w:ascii="仿宋" w:hAnsi="仿宋" w:eastAsia="仿宋"/>
          <w:color w:val="000000" w:themeColor="text1"/>
          <w:sz w:val="28"/>
          <w:szCs w:val="28"/>
        </w:rPr>
        <w:t>。</w:t>
      </w:r>
    </w:p>
    <w:p w14:paraId="203B8884">
      <w:pPr>
        <w:snapToGrid w:val="0"/>
        <w:spacing w:line="600" w:lineRule="exact"/>
        <w:ind w:firstLine="600"/>
        <w:jc w:val="left"/>
        <w:rPr>
          <w:rFonts w:ascii="仿宋" w:hAnsi="仿宋" w:eastAsia="仿宋"/>
          <w:color w:val="000000" w:themeColor="text1"/>
          <w:sz w:val="28"/>
          <w:szCs w:val="28"/>
        </w:rPr>
      </w:pPr>
      <w:r>
        <w:rPr>
          <w:rFonts w:ascii="仿宋" w:hAnsi="仿宋" w:eastAsia="仿宋"/>
          <w:color w:val="000000" w:themeColor="text1"/>
          <w:sz w:val="28"/>
          <w:szCs w:val="28"/>
        </w:rPr>
        <w:t>5</w:t>
      </w:r>
      <w:r>
        <w:rPr>
          <w:rFonts w:hint="eastAsia" w:ascii="仿宋" w:hAnsi="仿宋" w:eastAsia="仿宋"/>
          <w:color w:val="000000" w:themeColor="text1"/>
          <w:sz w:val="28"/>
          <w:szCs w:val="28"/>
        </w:rPr>
        <w:t>．在签署协议书之前，本响应函，包括其所有附属文件，将构成双方之间具有约束力的合同文件。</w:t>
      </w:r>
    </w:p>
    <w:p w14:paraId="5B76EA9B">
      <w:pPr>
        <w:snapToGrid w:val="0"/>
        <w:spacing w:line="600" w:lineRule="exact"/>
        <w:ind w:firstLine="600"/>
        <w:jc w:val="right"/>
        <w:rPr>
          <w:rFonts w:ascii="仿宋" w:hAnsi="仿宋" w:eastAsia="仿宋"/>
          <w:color w:val="000000" w:themeColor="text1"/>
          <w:sz w:val="28"/>
          <w:szCs w:val="28"/>
        </w:rPr>
      </w:pPr>
      <w:r>
        <w:rPr>
          <w:rFonts w:hint="eastAsia" w:ascii="仿宋" w:hAnsi="仿宋" w:eastAsia="仿宋"/>
          <w:color w:val="000000" w:themeColor="text1"/>
          <w:sz w:val="28"/>
          <w:szCs w:val="28"/>
        </w:rPr>
        <w:t>报价</w:t>
      </w:r>
      <w:r>
        <w:rPr>
          <w:rFonts w:ascii="仿宋" w:hAnsi="仿宋" w:eastAsia="仿宋"/>
          <w:color w:val="000000" w:themeColor="text1"/>
          <w:sz w:val="28"/>
          <w:szCs w:val="28"/>
        </w:rPr>
        <w:t xml:space="preserve">人：（盖单位章） </w:t>
      </w:r>
    </w:p>
    <w:p w14:paraId="51EEDC73">
      <w:pPr>
        <w:snapToGrid w:val="0"/>
        <w:spacing w:line="600" w:lineRule="exact"/>
        <w:ind w:right="480" w:firstLine="6440" w:firstLineChars="2300"/>
        <w:jc w:val="right"/>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日</w:t>
      </w:r>
    </w:p>
    <w:p w14:paraId="3D2F1D6C">
      <w:pPr>
        <w:snapToGrid w:val="0"/>
        <w:spacing w:line="600" w:lineRule="exact"/>
        <w:ind w:firstLine="600"/>
        <w:jc w:val="left"/>
        <w:rPr>
          <w:rFonts w:hint="eastAsia" w:ascii="仿宋" w:hAnsi="仿宋" w:eastAsia="仿宋"/>
          <w:b/>
          <w:bCs/>
          <w:color w:val="000000" w:themeColor="text1"/>
          <w:sz w:val="28"/>
          <w:szCs w:val="28"/>
        </w:rPr>
      </w:pPr>
    </w:p>
    <w:p w14:paraId="786267E0">
      <w:pPr>
        <w:snapToGrid w:val="0"/>
        <w:spacing w:line="600" w:lineRule="exact"/>
        <w:ind w:firstLine="600"/>
        <w:jc w:val="left"/>
        <w:rPr>
          <w:rFonts w:hint="eastAsia" w:ascii="仿宋" w:hAnsi="仿宋" w:eastAsia="仿宋"/>
          <w:b/>
          <w:bCs/>
          <w:color w:val="000000" w:themeColor="text1"/>
          <w:sz w:val="28"/>
          <w:szCs w:val="28"/>
        </w:rPr>
      </w:pPr>
    </w:p>
    <w:p w14:paraId="498D8A75">
      <w:pPr>
        <w:snapToGrid w:val="0"/>
        <w:spacing w:line="600" w:lineRule="exact"/>
        <w:ind w:firstLine="600"/>
        <w:jc w:val="left"/>
        <w:rPr>
          <w:rFonts w:ascii="仿宋" w:hAnsi="仿宋" w:eastAsia="仿宋"/>
          <w:b/>
          <w:bCs/>
          <w:color w:val="000000" w:themeColor="text1"/>
          <w:sz w:val="28"/>
          <w:szCs w:val="28"/>
        </w:rPr>
      </w:pPr>
      <w:r>
        <w:rPr>
          <w:rFonts w:hint="eastAsia" w:ascii="仿宋" w:hAnsi="仿宋" w:eastAsia="仿宋"/>
          <w:b/>
          <w:bCs/>
          <w:color w:val="000000" w:themeColor="text1"/>
          <w:sz w:val="28"/>
          <w:szCs w:val="28"/>
        </w:rPr>
        <w:t>附件2</w:t>
      </w:r>
    </w:p>
    <w:p w14:paraId="34EF7F0D">
      <w:pPr>
        <w:snapToGrid w:val="0"/>
        <w:spacing w:line="600" w:lineRule="exact"/>
        <w:ind w:firstLine="600"/>
        <w:jc w:val="center"/>
        <w:rPr>
          <w:rFonts w:ascii="仿宋" w:hAnsi="仿宋" w:eastAsia="仿宋"/>
          <w:b/>
          <w:bCs/>
          <w:color w:val="000000" w:themeColor="text1"/>
          <w:sz w:val="28"/>
          <w:szCs w:val="28"/>
        </w:rPr>
      </w:pPr>
      <w:r>
        <w:rPr>
          <w:rFonts w:hint="eastAsia" w:ascii="仿宋" w:hAnsi="仿宋" w:eastAsia="仿宋"/>
          <w:b/>
          <w:bCs/>
          <w:color w:val="000000" w:themeColor="text1"/>
          <w:sz w:val="28"/>
          <w:szCs w:val="28"/>
        </w:rPr>
        <w:t>询价响应承诺函</w:t>
      </w:r>
    </w:p>
    <w:p w14:paraId="0873FF5C">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我公司慎重作出以下承诺 ：</w:t>
      </w:r>
    </w:p>
    <w:p w14:paraId="509EE8E2">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一、关于响应资格的承诺 </w:t>
      </w:r>
    </w:p>
    <w:p w14:paraId="4A5624D3">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（被或未被）责令停业的；</w:t>
      </w:r>
    </w:p>
    <w:p w14:paraId="4CFE7F28">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（被或未被）暂停或取消执业资格的；</w:t>
      </w:r>
    </w:p>
    <w:p w14:paraId="44ABFA77">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（3）财产</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（被或未被）接管或冻结的；</w:t>
      </w:r>
    </w:p>
    <w:p w14:paraId="3896067D">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（4）在响应询价过程中</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（有或没有）弄虚作假、行贿或者其他违法违规行为。</w:t>
      </w:r>
    </w:p>
    <w:p w14:paraId="66B68FDC">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二、针对服务技术要求和执行国家强制性标准的承诺</w:t>
      </w:r>
    </w:p>
    <w:p w14:paraId="32BF28E4">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服务方案符合国家规程规范的要求，并严格执行国家强制性标准。</w:t>
      </w:r>
    </w:p>
    <w:p w14:paraId="0D8A758A">
      <w:pPr>
        <w:snapToGrid w:val="0"/>
        <w:spacing w:line="600" w:lineRule="exact"/>
        <w:ind w:firstLine="600"/>
        <w:jc w:val="left"/>
        <w:rPr>
          <w:rFonts w:ascii="仿宋" w:hAnsi="仿宋" w:eastAsia="仿宋"/>
          <w:color w:val="000000" w:themeColor="text1"/>
          <w:sz w:val="28"/>
          <w:szCs w:val="28"/>
        </w:rPr>
      </w:pPr>
      <w:bookmarkStart w:id="1" w:name="D10资格标投标承诺函"/>
      <w:bookmarkEnd w:id="1"/>
      <w:bookmarkStart w:id="2" w:name="D8投标承诺函"/>
      <w:r>
        <w:rPr>
          <w:rFonts w:hint="eastAsia" w:ascii="仿宋" w:hAnsi="仿宋" w:eastAsia="仿宋"/>
          <w:color w:val="000000" w:themeColor="text1"/>
          <w:sz w:val="28"/>
          <w:szCs w:val="28"/>
        </w:rPr>
        <w:t>三、其他承诺</w:t>
      </w:r>
    </w:p>
    <w:p w14:paraId="5B87F64E">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1、我单位是自己参加询价，如我单位成为最终成交人，则由我单位自己组织实施，不挂靠，不转包。如此承诺不实，则我单位自动放弃成交人资格。</w:t>
      </w:r>
    </w:p>
    <w:p w14:paraId="7158DD6B">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2、如我单位参与询价的相关资料有弄虚作假情况，我单位将自动放弃成交人资格。</w:t>
      </w:r>
    </w:p>
    <w:p w14:paraId="0DC15A6D">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3、我单位完全响应询价文件要求。</w:t>
      </w:r>
    </w:p>
    <w:p w14:paraId="5CC0CD82">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如上述</w:t>
      </w:r>
      <w:bookmarkEnd w:id="2"/>
      <w:r>
        <w:rPr>
          <w:rFonts w:hint="eastAsia" w:ascii="仿宋" w:hAnsi="仿宋" w:eastAsia="仿宋"/>
          <w:color w:val="000000" w:themeColor="text1"/>
          <w:sz w:val="28"/>
          <w:szCs w:val="28"/>
        </w:rPr>
        <w:t>承诺不实，将承担由此产生的全部责任。</w:t>
      </w:r>
    </w:p>
    <w:p w14:paraId="3493C9EF">
      <w:pPr>
        <w:snapToGrid w:val="0"/>
        <w:spacing w:line="600" w:lineRule="exact"/>
        <w:ind w:firstLine="600"/>
        <w:jc w:val="left"/>
        <w:rPr>
          <w:rFonts w:ascii="仿宋" w:hAnsi="仿宋" w:eastAsia="仿宋"/>
          <w:color w:val="000000" w:themeColor="text1"/>
          <w:sz w:val="28"/>
          <w:szCs w:val="28"/>
        </w:rPr>
      </w:pPr>
    </w:p>
    <w:p w14:paraId="63D240EB">
      <w:pPr>
        <w:wordWrap w:val="0"/>
        <w:snapToGrid w:val="0"/>
        <w:spacing w:line="600" w:lineRule="exact"/>
        <w:ind w:firstLine="600"/>
        <w:jc w:val="right"/>
        <w:rPr>
          <w:rFonts w:ascii="仿宋" w:hAnsi="仿宋" w:eastAsia="仿宋"/>
          <w:color w:val="000000" w:themeColor="text1"/>
          <w:sz w:val="28"/>
          <w:szCs w:val="28"/>
        </w:rPr>
      </w:pPr>
      <w:r>
        <w:rPr>
          <w:rFonts w:hint="eastAsia" w:ascii="仿宋" w:hAnsi="仿宋" w:eastAsia="仿宋"/>
          <w:color w:val="000000" w:themeColor="text1"/>
          <w:sz w:val="28"/>
          <w:szCs w:val="28"/>
        </w:rPr>
        <w:t>响应</w:t>
      </w:r>
      <w:r>
        <w:rPr>
          <w:rFonts w:ascii="仿宋" w:hAnsi="仿宋" w:eastAsia="仿宋"/>
          <w:color w:val="000000" w:themeColor="text1"/>
          <w:sz w:val="28"/>
          <w:szCs w:val="28"/>
        </w:rPr>
        <w:t xml:space="preserve">人： （盖单位章） </w:t>
      </w:r>
    </w:p>
    <w:p w14:paraId="7F71FBEC">
      <w:pPr>
        <w:snapToGrid w:val="0"/>
        <w:spacing w:line="600" w:lineRule="exact"/>
        <w:ind w:right="480"/>
        <w:jc w:val="right"/>
        <w:rPr>
          <w:rFonts w:ascii="仿宋" w:hAnsi="仿宋" w:eastAsia="仿宋"/>
          <w:color w:val="000000" w:themeColor="text1"/>
          <w:sz w:val="28"/>
          <w:szCs w:val="28"/>
        </w:rPr>
      </w:pPr>
    </w:p>
    <w:p w14:paraId="4A9BBDB6">
      <w:pPr>
        <w:snapToGrid w:val="0"/>
        <w:spacing w:line="600" w:lineRule="exact"/>
        <w:ind w:right="480"/>
        <w:jc w:val="right"/>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日</w:t>
      </w:r>
    </w:p>
    <w:p w14:paraId="5201ADD8">
      <w:pPr>
        <w:spacing w:line="460" w:lineRule="exact"/>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附件3：</w:t>
      </w:r>
    </w:p>
    <w:tbl>
      <w:tblPr>
        <w:tblStyle w:val="11"/>
        <w:tblW w:w="9180" w:type="dxa"/>
        <w:jc w:val="center"/>
        <w:tblLayout w:type="fixed"/>
        <w:tblCellMar>
          <w:top w:w="0" w:type="dxa"/>
          <w:left w:w="108" w:type="dxa"/>
          <w:bottom w:w="0" w:type="dxa"/>
          <w:right w:w="108" w:type="dxa"/>
        </w:tblCellMar>
      </w:tblPr>
      <w:tblGrid>
        <w:gridCol w:w="783"/>
        <w:gridCol w:w="2100"/>
        <w:gridCol w:w="2157"/>
        <w:gridCol w:w="2681"/>
        <w:gridCol w:w="1459"/>
      </w:tblGrid>
      <w:tr w14:paraId="423DC3B4">
        <w:trPr>
          <w:trHeight w:val="270" w:hRule="atLeast"/>
          <w:jc w:val="center"/>
        </w:trPr>
        <w:tc>
          <w:tcPr>
            <w:tcW w:w="9180" w:type="dxa"/>
            <w:gridSpan w:val="5"/>
            <w:tcBorders>
              <w:top w:val="nil"/>
              <w:left w:val="nil"/>
              <w:bottom w:val="single" w:color="auto" w:sz="4" w:space="0"/>
              <w:right w:val="nil"/>
            </w:tcBorders>
            <w:shd w:val="clear" w:color="auto" w:fill="auto"/>
            <w:noWrap/>
            <w:vAlign w:val="center"/>
          </w:tcPr>
          <w:p w14:paraId="017D653B">
            <w:pPr>
              <w:widowControl/>
              <w:spacing w:line="520" w:lineRule="exact"/>
              <w:jc w:val="center"/>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消防应急器材清单</w:t>
            </w:r>
          </w:p>
        </w:tc>
      </w:tr>
      <w:tr w14:paraId="6BD25651">
        <w:trPr>
          <w:trHeight w:val="270"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EEDFE">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序号</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92953">
            <w:pPr>
              <w:widowControl/>
              <w:spacing w:line="520" w:lineRule="exact"/>
              <w:jc w:val="center"/>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物资名称</w:t>
            </w:r>
          </w:p>
        </w:tc>
        <w:tc>
          <w:tcPr>
            <w:tcW w:w="21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2E505">
            <w:pPr>
              <w:widowControl/>
              <w:spacing w:line="520" w:lineRule="exact"/>
              <w:jc w:val="center"/>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品牌</w:t>
            </w:r>
          </w:p>
        </w:tc>
        <w:tc>
          <w:tcPr>
            <w:tcW w:w="2681" w:type="dxa"/>
            <w:tcBorders>
              <w:top w:val="single" w:color="auto" w:sz="4" w:space="0"/>
              <w:left w:val="single" w:color="auto" w:sz="4" w:space="0"/>
              <w:bottom w:val="single" w:color="auto" w:sz="4" w:space="0"/>
              <w:right w:val="single" w:color="auto" w:sz="4" w:space="0"/>
            </w:tcBorders>
            <w:vAlign w:val="center"/>
          </w:tcPr>
          <w:p w14:paraId="558BB009">
            <w:pPr>
              <w:widowControl/>
              <w:spacing w:line="520" w:lineRule="exact"/>
              <w:jc w:val="center"/>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型号</w:t>
            </w:r>
          </w:p>
        </w:tc>
        <w:tc>
          <w:tcPr>
            <w:tcW w:w="1459" w:type="dxa"/>
            <w:tcBorders>
              <w:top w:val="single" w:color="auto" w:sz="4" w:space="0"/>
              <w:left w:val="single" w:color="auto" w:sz="4" w:space="0"/>
              <w:bottom w:val="single" w:color="auto" w:sz="4" w:space="0"/>
              <w:right w:val="single" w:color="auto" w:sz="4" w:space="0"/>
            </w:tcBorders>
            <w:vAlign w:val="center"/>
          </w:tcPr>
          <w:p w14:paraId="477F54BF">
            <w:pPr>
              <w:widowControl/>
              <w:spacing w:line="520" w:lineRule="exact"/>
              <w:jc w:val="center"/>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备注</w:t>
            </w:r>
          </w:p>
        </w:tc>
      </w:tr>
      <w:tr w14:paraId="5995007B">
        <w:trPr>
          <w:trHeight w:val="680" w:hRule="exac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69FE7">
            <w:pPr>
              <w:widowControl/>
              <w:jc w:val="center"/>
              <w:rPr>
                <w:rFonts w:hint="eastAsia"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1</w:t>
            </w:r>
          </w:p>
        </w:tc>
        <w:tc>
          <w:tcPr>
            <w:tcW w:w="2100" w:type="dxa"/>
            <w:tcBorders>
              <w:top w:val="single" w:color="auto" w:sz="4" w:space="0"/>
              <w:left w:val="nil"/>
              <w:bottom w:val="single" w:color="auto" w:sz="4" w:space="0"/>
              <w:right w:val="single" w:color="auto" w:sz="4" w:space="0"/>
            </w:tcBorders>
            <w:shd w:val="clear" w:color="auto" w:fill="auto"/>
            <w:noWrap/>
            <w:vAlign w:val="center"/>
          </w:tcPr>
          <w:p w14:paraId="361DF225">
            <w:pPr>
              <w:widowControl/>
              <w:jc w:val="center"/>
              <w:rPr>
                <w:rFonts w:hint="eastAsia" w:ascii="仿宋" w:hAnsi="仿宋" w:eastAsia="仿宋" w:cs="宋体"/>
                <w:color w:val="000000" w:themeColor="text1"/>
                <w:kern w:val="0"/>
                <w:sz w:val="28"/>
                <w:szCs w:val="28"/>
                <w:lang w:eastAsia="zh-CN"/>
              </w:rPr>
            </w:pPr>
            <w:r>
              <w:rPr>
                <w:rFonts w:hint="eastAsia" w:ascii="仿宋" w:hAnsi="仿宋" w:eastAsia="仿宋" w:cs="宋体"/>
                <w:color w:val="000000" w:themeColor="text1"/>
                <w:kern w:val="0"/>
                <w:sz w:val="28"/>
                <w:szCs w:val="28"/>
                <w:lang w:eastAsia="zh-CN"/>
              </w:rPr>
              <w:t>消防应急包</w:t>
            </w:r>
          </w:p>
        </w:tc>
        <w:tc>
          <w:tcPr>
            <w:tcW w:w="2157" w:type="dxa"/>
            <w:tcBorders>
              <w:top w:val="single" w:color="auto" w:sz="4" w:space="0"/>
              <w:left w:val="nil"/>
              <w:bottom w:val="single" w:color="auto" w:sz="4" w:space="0"/>
              <w:right w:val="single" w:color="auto" w:sz="4" w:space="0"/>
            </w:tcBorders>
            <w:shd w:val="clear" w:color="auto" w:fill="auto"/>
            <w:noWrap/>
            <w:vAlign w:val="center"/>
          </w:tcPr>
          <w:p w14:paraId="06718904">
            <w:pPr>
              <w:widowControl/>
              <w:jc w:val="center"/>
              <w:rPr>
                <w:rFonts w:ascii="仿宋" w:hAnsi="仿宋" w:eastAsia="仿宋" w:cs="宋体"/>
                <w:color w:val="000000" w:themeColor="text1"/>
                <w:kern w:val="0"/>
                <w:sz w:val="28"/>
                <w:szCs w:val="28"/>
              </w:rPr>
            </w:pPr>
          </w:p>
          <w:p w14:paraId="6BC49509">
            <w:pPr>
              <w:widowControl/>
              <w:jc w:val="center"/>
              <w:rPr>
                <w:rFonts w:ascii="仿宋" w:hAnsi="仿宋" w:eastAsia="仿宋" w:cs="宋体"/>
                <w:color w:val="000000" w:themeColor="text1"/>
                <w:kern w:val="0"/>
                <w:sz w:val="28"/>
                <w:szCs w:val="28"/>
              </w:rPr>
            </w:pPr>
          </w:p>
        </w:tc>
        <w:tc>
          <w:tcPr>
            <w:tcW w:w="2681" w:type="dxa"/>
            <w:tcBorders>
              <w:top w:val="single" w:color="auto" w:sz="4" w:space="0"/>
              <w:left w:val="single" w:color="auto" w:sz="4" w:space="0"/>
              <w:bottom w:val="single" w:color="auto" w:sz="4" w:space="0"/>
              <w:right w:val="single" w:color="auto" w:sz="4" w:space="0"/>
            </w:tcBorders>
            <w:vAlign w:val="center"/>
          </w:tcPr>
          <w:p w14:paraId="5F3C0CEE">
            <w:pPr>
              <w:widowControl/>
              <w:jc w:val="center"/>
              <w:rPr>
                <w:rFonts w:ascii="仿宋" w:hAnsi="仿宋" w:eastAsia="仿宋" w:cs="宋体"/>
                <w:color w:val="000000" w:themeColor="text1"/>
                <w:kern w:val="0"/>
                <w:sz w:val="28"/>
                <w:szCs w:val="28"/>
              </w:rPr>
            </w:pPr>
          </w:p>
        </w:tc>
        <w:tc>
          <w:tcPr>
            <w:tcW w:w="1459" w:type="dxa"/>
            <w:tcBorders>
              <w:top w:val="single" w:color="auto" w:sz="4" w:space="0"/>
              <w:left w:val="single" w:color="auto" w:sz="4" w:space="0"/>
              <w:bottom w:val="single" w:color="auto" w:sz="4" w:space="0"/>
              <w:right w:val="single" w:color="auto" w:sz="4" w:space="0"/>
            </w:tcBorders>
            <w:vAlign w:val="center"/>
          </w:tcPr>
          <w:p w14:paraId="22AFF2F8">
            <w:pPr>
              <w:widowControl/>
              <w:jc w:val="center"/>
              <w:rPr>
                <w:rFonts w:ascii="仿宋" w:hAnsi="仿宋" w:eastAsia="仿宋" w:cs="宋体"/>
                <w:color w:val="000000" w:themeColor="text1"/>
                <w:kern w:val="0"/>
                <w:sz w:val="28"/>
                <w:szCs w:val="28"/>
              </w:rPr>
            </w:pPr>
          </w:p>
        </w:tc>
      </w:tr>
      <w:tr w14:paraId="1C8A176B">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1B115786">
            <w:pPr>
              <w:widowControl/>
              <w:jc w:val="center"/>
              <w:rPr>
                <w:rFonts w:hint="eastAsia"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2</w:t>
            </w:r>
          </w:p>
        </w:tc>
        <w:tc>
          <w:tcPr>
            <w:tcW w:w="2100" w:type="dxa"/>
            <w:tcBorders>
              <w:top w:val="nil"/>
              <w:left w:val="nil"/>
              <w:bottom w:val="single" w:color="auto" w:sz="4" w:space="0"/>
              <w:right w:val="single" w:color="auto" w:sz="4" w:space="0"/>
            </w:tcBorders>
            <w:shd w:val="clear" w:color="auto" w:fill="auto"/>
            <w:noWrap/>
            <w:vAlign w:val="center"/>
          </w:tcPr>
          <w:p w14:paraId="1EA06579">
            <w:pPr>
              <w:widowControl/>
              <w:jc w:val="center"/>
              <w:rPr>
                <w:rFonts w:hint="eastAsia" w:ascii="仿宋" w:hAnsi="仿宋" w:eastAsia="仿宋" w:cs="宋体"/>
                <w:color w:val="000000" w:themeColor="text1"/>
                <w:kern w:val="0"/>
                <w:sz w:val="28"/>
                <w:szCs w:val="28"/>
                <w:lang w:eastAsia="zh-CN"/>
              </w:rPr>
            </w:pPr>
            <w:r>
              <w:rPr>
                <w:rFonts w:hint="eastAsia" w:ascii="仿宋" w:hAnsi="仿宋" w:eastAsia="仿宋" w:cs="宋体"/>
                <w:color w:val="000000" w:themeColor="text1"/>
                <w:kern w:val="0"/>
                <w:sz w:val="28"/>
                <w:szCs w:val="28"/>
                <w:lang w:eastAsia="zh-CN"/>
              </w:rPr>
              <w:t>消防面罩</w:t>
            </w:r>
          </w:p>
        </w:tc>
        <w:tc>
          <w:tcPr>
            <w:tcW w:w="2157" w:type="dxa"/>
            <w:tcBorders>
              <w:top w:val="nil"/>
              <w:left w:val="nil"/>
              <w:bottom w:val="single" w:color="auto" w:sz="4" w:space="0"/>
              <w:right w:val="single" w:color="auto" w:sz="4" w:space="0"/>
            </w:tcBorders>
            <w:shd w:val="clear" w:color="auto" w:fill="auto"/>
            <w:noWrap/>
            <w:vAlign w:val="center"/>
          </w:tcPr>
          <w:p w14:paraId="770584C1">
            <w:pPr>
              <w:widowControl/>
              <w:jc w:val="center"/>
              <w:rPr>
                <w:rFonts w:ascii="仿宋" w:hAnsi="仿宋" w:eastAsia="仿宋" w:cs="宋体"/>
                <w:color w:val="000000" w:themeColor="text1"/>
                <w:kern w:val="0"/>
                <w:sz w:val="28"/>
                <w:szCs w:val="28"/>
              </w:rPr>
            </w:pPr>
          </w:p>
          <w:p w14:paraId="25ADE2F3">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2CED03E9">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46D284D8">
            <w:pPr>
              <w:widowControl/>
              <w:jc w:val="center"/>
              <w:rPr>
                <w:rFonts w:ascii="仿宋" w:hAnsi="仿宋" w:eastAsia="仿宋" w:cs="宋体"/>
                <w:color w:val="000000" w:themeColor="text1"/>
                <w:kern w:val="0"/>
                <w:sz w:val="28"/>
                <w:szCs w:val="28"/>
              </w:rPr>
            </w:pPr>
          </w:p>
        </w:tc>
      </w:tr>
      <w:tr w14:paraId="272184DF">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343FA65D">
            <w:pPr>
              <w:widowControl/>
              <w:jc w:val="center"/>
              <w:rPr>
                <w:rFonts w:hint="eastAsia"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3</w:t>
            </w:r>
          </w:p>
        </w:tc>
        <w:tc>
          <w:tcPr>
            <w:tcW w:w="2100" w:type="dxa"/>
            <w:tcBorders>
              <w:top w:val="nil"/>
              <w:left w:val="nil"/>
              <w:bottom w:val="single" w:color="auto" w:sz="4" w:space="0"/>
              <w:right w:val="single" w:color="auto" w:sz="4" w:space="0"/>
            </w:tcBorders>
            <w:shd w:val="clear" w:color="auto" w:fill="auto"/>
            <w:noWrap/>
            <w:vAlign w:val="center"/>
          </w:tcPr>
          <w:p w14:paraId="3A58DB5F">
            <w:pPr>
              <w:widowControl/>
              <w:jc w:val="center"/>
              <w:rPr>
                <w:rFonts w:hint="eastAsia" w:ascii="仿宋" w:hAnsi="仿宋" w:eastAsia="仿宋" w:cs="宋体"/>
                <w:color w:val="000000" w:themeColor="text1"/>
                <w:kern w:val="0"/>
                <w:sz w:val="28"/>
                <w:szCs w:val="28"/>
                <w:lang w:eastAsia="zh-CN"/>
              </w:rPr>
            </w:pPr>
            <w:r>
              <w:rPr>
                <w:rFonts w:hint="eastAsia" w:ascii="仿宋" w:hAnsi="仿宋" w:eastAsia="仿宋" w:cs="宋体"/>
                <w:color w:val="000000" w:themeColor="text1"/>
                <w:kern w:val="0"/>
                <w:sz w:val="28"/>
                <w:szCs w:val="28"/>
                <w:lang w:eastAsia="zh-CN"/>
              </w:rPr>
              <w:t>灭火器</w:t>
            </w:r>
          </w:p>
        </w:tc>
        <w:tc>
          <w:tcPr>
            <w:tcW w:w="2157" w:type="dxa"/>
            <w:tcBorders>
              <w:top w:val="nil"/>
              <w:left w:val="nil"/>
              <w:bottom w:val="single" w:color="auto" w:sz="4" w:space="0"/>
              <w:right w:val="single" w:color="auto" w:sz="4" w:space="0"/>
            </w:tcBorders>
            <w:shd w:val="clear" w:color="auto" w:fill="auto"/>
            <w:noWrap/>
            <w:vAlign w:val="center"/>
          </w:tcPr>
          <w:p w14:paraId="64A62364">
            <w:pPr>
              <w:widowControl/>
              <w:jc w:val="center"/>
              <w:rPr>
                <w:rFonts w:ascii="仿宋" w:hAnsi="仿宋" w:eastAsia="仿宋" w:cs="宋体"/>
                <w:color w:val="000000" w:themeColor="text1"/>
                <w:kern w:val="0"/>
                <w:sz w:val="28"/>
                <w:szCs w:val="28"/>
              </w:rPr>
            </w:pPr>
          </w:p>
          <w:p w14:paraId="56548558">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25C71A09">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74D14412">
            <w:pPr>
              <w:widowControl/>
              <w:jc w:val="center"/>
              <w:rPr>
                <w:rFonts w:ascii="仿宋" w:hAnsi="仿宋" w:eastAsia="仿宋" w:cs="宋体"/>
                <w:color w:val="000000" w:themeColor="text1"/>
                <w:kern w:val="0"/>
                <w:sz w:val="28"/>
                <w:szCs w:val="28"/>
              </w:rPr>
            </w:pPr>
          </w:p>
        </w:tc>
      </w:tr>
      <w:tr w14:paraId="7761A2F2">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4B3DB99C">
            <w:pPr>
              <w:widowControl/>
              <w:jc w:val="center"/>
              <w:rPr>
                <w:rFonts w:hint="eastAsia"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4</w:t>
            </w:r>
          </w:p>
        </w:tc>
        <w:tc>
          <w:tcPr>
            <w:tcW w:w="2100" w:type="dxa"/>
            <w:tcBorders>
              <w:top w:val="nil"/>
              <w:left w:val="nil"/>
              <w:bottom w:val="single" w:color="auto" w:sz="4" w:space="0"/>
              <w:right w:val="single" w:color="auto" w:sz="4" w:space="0"/>
            </w:tcBorders>
            <w:shd w:val="clear" w:color="auto" w:fill="auto"/>
            <w:noWrap/>
            <w:vAlign w:val="center"/>
          </w:tcPr>
          <w:p w14:paraId="6C3F6AD4">
            <w:pPr>
              <w:widowControl/>
              <w:jc w:val="center"/>
              <w:rPr>
                <w:rFonts w:hint="eastAsia" w:ascii="仿宋" w:hAnsi="仿宋" w:eastAsia="仿宋" w:cs="宋体"/>
                <w:color w:val="000000" w:themeColor="text1"/>
                <w:kern w:val="0"/>
                <w:sz w:val="28"/>
                <w:szCs w:val="28"/>
                <w:lang w:eastAsia="zh-CN"/>
              </w:rPr>
            </w:pPr>
            <w:r>
              <w:rPr>
                <w:rFonts w:hint="eastAsia" w:ascii="仿宋" w:hAnsi="仿宋" w:eastAsia="仿宋" w:cs="宋体"/>
                <w:color w:val="000000" w:themeColor="text1"/>
                <w:kern w:val="0"/>
                <w:sz w:val="28"/>
                <w:szCs w:val="28"/>
                <w:lang w:eastAsia="zh-CN"/>
              </w:rPr>
              <w:t>口哨</w:t>
            </w:r>
          </w:p>
        </w:tc>
        <w:tc>
          <w:tcPr>
            <w:tcW w:w="2157" w:type="dxa"/>
            <w:tcBorders>
              <w:top w:val="nil"/>
              <w:left w:val="nil"/>
              <w:bottom w:val="single" w:color="auto" w:sz="4" w:space="0"/>
              <w:right w:val="single" w:color="auto" w:sz="4" w:space="0"/>
            </w:tcBorders>
            <w:shd w:val="clear" w:color="auto" w:fill="auto"/>
            <w:noWrap/>
            <w:vAlign w:val="center"/>
          </w:tcPr>
          <w:p w14:paraId="5F1F7A87">
            <w:pPr>
              <w:widowControl/>
              <w:jc w:val="center"/>
              <w:rPr>
                <w:rFonts w:ascii="仿宋" w:hAnsi="仿宋" w:eastAsia="仿宋" w:cs="宋体"/>
                <w:color w:val="000000" w:themeColor="text1"/>
                <w:kern w:val="0"/>
                <w:sz w:val="28"/>
                <w:szCs w:val="28"/>
              </w:rPr>
            </w:pPr>
          </w:p>
          <w:p w14:paraId="5F71CBD2">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61A6C63B">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77E91218">
            <w:pPr>
              <w:widowControl/>
              <w:jc w:val="center"/>
              <w:rPr>
                <w:rFonts w:ascii="仿宋" w:hAnsi="仿宋" w:eastAsia="仿宋" w:cs="宋体"/>
                <w:color w:val="000000" w:themeColor="text1"/>
                <w:kern w:val="0"/>
                <w:sz w:val="28"/>
                <w:szCs w:val="28"/>
              </w:rPr>
            </w:pPr>
          </w:p>
        </w:tc>
      </w:tr>
      <w:tr w14:paraId="1CF08E66">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0F29B132">
            <w:pPr>
              <w:widowControl/>
              <w:jc w:val="center"/>
              <w:rPr>
                <w:rFonts w:hint="eastAsia"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5</w:t>
            </w:r>
          </w:p>
        </w:tc>
        <w:tc>
          <w:tcPr>
            <w:tcW w:w="2100" w:type="dxa"/>
            <w:tcBorders>
              <w:top w:val="nil"/>
              <w:left w:val="nil"/>
              <w:bottom w:val="single" w:color="auto" w:sz="4" w:space="0"/>
              <w:right w:val="single" w:color="auto" w:sz="4" w:space="0"/>
            </w:tcBorders>
            <w:shd w:val="clear" w:color="auto" w:fill="auto"/>
            <w:noWrap/>
            <w:vAlign w:val="center"/>
          </w:tcPr>
          <w:p w14:paraId="1F9552DD">
            <w:pPr>
              <w:widowControl/>
              <w:jc w:val="center"/>
              <w:rPr>
                <w:rFonts w:hint="eastAsia" w:ascii="仿宋" w:hAnsi="仿宋" w:eastAsia="仿宋" w:cs="宋体"/>
                <w:color w:val="000000" w:themeColor="text1"/>
                <w:kern w:val="0"/>
                <w:sz w:val="28"/>
                <w:szCs w:val="28"/>
                <w:lang w:eastAsia="zh-CN"/>
              </w:rPr>
            </w:pPr>
            <w:r>
              <w:rPr>
                <w:rFonts w:hint="eastAsia" w:ascii="仿宋" w:hAnsi="仿宋" w:eastAsia="仿宋" w:cs="宋体"/>
                <w:color w:val="000000" w:themeColor="text1"/>
                <w:kern w:val="0"/>
                <w:sz w:val="28"/>
                <w:szCs w:val="28"/>
                <w:lang w:eastAsia="zh-CN"/>
              </w:rPr>
              <w:t>手电筒</w:t>
            </w:r>
          </w:p>
        </w:tc>
        <w:tc>
          <w:tcPr>
            <w:tcW w:w="2157" w:type="dxa"/>
            <w:tcBorders>
              <w:top w:val="nil"/>
              <w:left w:val="nil"/>
              <w:bottom w:val="single" w:color="auto" w:sz="4" w:space="0"/>
              <w:right w:val="single" w:color="auto" w:sz="4" w:space="0"/>
            </w:tcBorders>
            <w:shd w:val="clear" w:color="auto" w:fill="auto"/>
            <w:noWrap/>
            <w:vAlign w:val="center"/>
          </w:tcPr>
          <w:p w14:paraId="16E65828">
            <w:pPr>
              <w:widowControl/>
              <w:jc w:val="center"/>
              <w:rPr>
                <w:rFonts w:ascii="仿宋" w:hAnsi="仿宋" w:eastAsia="仿宋" w:cs="宋体"/>
                <w:color w:val="000000" w:themeColor="text1"/>
                <w:kern w:val="0"/>
                <w:sz w:val="28"/>
                <w:szCs w:val="28"/>
              </w:rPr>
            </w:pPr>
          </w:p>
          <w:p w14:paraId="40C406E9">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139336B4">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13BED034">
            <w:pPr>
              <w:widowControl/>
              <w:jc w:val="center"/>
              <w:rPr>
                <w:rFonts w:ascii="仿宋" w:hAnsi="仿宋" w:eastAsia="仿宋" w:cs="宋体"/>
                <w:color w:val="000000" w:themeColor="text1"/>
                <w:kern w:val="0"/>
                <w:sz w:val="28"/>
                <w:szCs w:val="28"/>
              </w:rPr>
            </w:pPr>
          </w:p>
        </w:tc>
      </w:tr>
      <w:tr w14:paraId="1A4174B7">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3214E7A6">
            <w:pPr>
              <w:widowControl/>
              <w:jc w:val="center"/>
              <w:rPr>
                <w:rFonts w:hint="eastAsia" w:ascii="仿宋" w:hAnsi="仿宋" w:eastAsia="仿宋" w:cs="宋体"/>
                <w:color w:val="000000" w:themeColor="text1"/>
                <w:kern w:val="0"/>
                <w:sz w:val="28"/>
                <w:szCs w:val="28"/>
                <w:lang w:val="en-US" w:eastAsia="zh-CN"/>
              </w:rPr>
            </w:pPr>
            <w:r>
              <w:rPr>
                <w:rFonts w:hint="eastAsia" w:ascii="仿宋" w:hAnsi="仿宋" w:eastAsia="仿宋" w:cs="宋体"/>
                <w:color w:val="000000" w:themeColor="text1"/>
                <w:kern w:val="0"/>
                <w:sz w:val="28"/>
                <w:szCs w:val="28"/>
                <w:lang w:val="en-US" w:eastAsia="zh-CN"/>
              </w:rPr>
              <w:t>6</w:t>
            </w:r>
          </w:p>
        </w:tc>
        <w:tc>
          <w:tcPr>
            <w:tcW w:w="2100" w:type="dxa"/>
            <w:tcBorders>
              <w:top w:val="nil"/>
              <w:left w:val="nil"/>
              <w:bottom w:val="single" w:color="auto" w:sz="4" w:space="0"/>
              <w:right w:val="single" w:color="auto" w:sz="4" w:space="0"/>
            </w:tcBorders>
            <w:shd w:val="clear" w:color="auto" w:fill="auto"/>
            <w:noWrap/>
            <w:vAlign w:val="center"/>
          </w:tcPr>
          <w:p w14:paraId="201BFE6E">
            <w:pPr>
              <w:widowControl/>
              <w:jc w:val="center"/>
              <w:rPr>
                <w:rFonts w:hint="eastAsia" w:ascii="仿宋" w:hAnsi="仿宋" w:eastAsia="仿宋" w:cs="宋体"/>
                <w:color w:val="000000" w:themeColor="text1"/>
                <w:kern w:val="0"/>
                <w:sz w:val="28"/>
                <w:szCs w:val="28"/>
                <w:lang w:eastAsia="zh-CN"/>
              </w:rPr>
            </w:pPr>
            <w:r>
              <w:rPr>
                <w:rFonts w:hint="eastAsia" w:ascii="仿宋" w:hAnsi="仿宋" w:eastAsia="仿宋" w:cs="宋体"/>
                <w:color w:val="000000" w:themeColor="text1"/>
                <w:kern w:val="0"/>
                <w:sz w:val="28"/>
                <w:szCs w:val="28"/>
                <w:lang w:eastAsia="zh-CN"/>
              </w:rPr>
              <w:t>灭火毯</w:t>
            </w:r>
          </w:p>
        </w:tc>
        <w:tc>
          <w:tcPr>
            <w:tcW w:w="2157" w:type="dxa"/>
            <w:tcBorders>
              <w:top w:val="nil"/>
              <w:left w:val="nil"/>
              <w:bottom w:val="single" w:color="auto" w:sz="4" w:space="0"/>
              <w:right w:val="single" w:color="auto" w:sz="4" w:space="0"/>
            </w:tcBorders>
            <w:shd w:val="clear" w:color="auto" w:fill="auto"/>
            <w:noWrap/>
            <w:vAlign w:val="center"/>
          </w:tcPr>
          <w:p w14:paraId="6998690A">
            <w:pPr>
              <w:widowControl/>
              <w:jc w:val="center"/>
              <w:rPr>
                <w:rFonts w:ascii="仿宋" w:hAnsi="仿宋" w:eastAsia="仿宋" w:cs="宋体"/>
                <w:color w:val="000000" w:themeColor="text1"/>
                <w:kern w:val="0"/>
                <w:sz w:val="28"/>
                <w:szCs w:val="28"/>
              </w:rPr>
            </w:pPr>
          </w:p>
          <w:p w14:paraId="2E04BDA1">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13D75EC3">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53CC18FD">
            <w:pPr>
              <w:widowControl/>
              <w:jc w:val="center"/>
              <w:rPr>
                <w:rFonts w:ascii="仿宋" w:hAnsi="仿宋" w:eastAsia="仿宋" w:cs="宋体"/>
                <w:color w:val="000000" w:themeColor="text1"/>
                <w:kern w:val="0"/>
                <w:sz w:val="28"/>
                <w:szCs w:val="28"/>
              </w:rPr>
            </w:pPr>
          </w:p>
        </w:tc>
      </w:tr>
      <w:tr w14:paraId="4D7AD6BA">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1302F53C">
            <w:pPr>
              <w:widowControl/>
              <w:jc w:val="center"/>
              <w:rPr>
                <w:rFonts w:ascii="仿宋" w:hAnsi="仿宋" w:eastAsia="仿宋" w:cs="宋体"/>
                <w:color w:val="000000" w:themeColor="text1"/>
                <w:kern w:val="0"/>
                <w:sz w:val="28"/>
                <w:szCs w:val="28"/>
              </w:rPr>
            </w:pPr>
          </w:p>
        </w:tc>
        <w:tc>
          <w:tcPr>
            <w:tcW w:w="2100" w:type="dxa"/>
            <w:tcBorders>
              <w:top w:val="nil"/>
              <w:left w:val="nil"/>
              <w:bottom w:val="single" w:color="auto" w:sz="4" w:space="0"/>
              <w:right w:val="single" w:color="auto" w:sz="4" w:space="0"/>
            </w:tcBorders>
            <w:shd w:val="clear" w:color="auto" w:fill="auto"/>
            <w:noWrap/>
            <w:vAlign w:val="center"/>
          </w:tcPr>
          <w:p w14:paraId="50D96AF7">
            <w:pPr>
              <w:widowControl/>
              <w:jc w:val="center"/>
              <w:rPr>
                <w:rFonts w:ascii="仿宋" w:hAnsi="仿宋" w:eastAsia="仿宋" w:cs="宋体"/>
                <w:color w:val="000000" w:themeColor="text1"/>
                <w:kern w:val="0"/>
                <w:sz w:val="28"/>
                <w:szCs w:val="28"/>
              </w:rPr>
            </w:pPr>
          </w:p>
        </w:tc>
        <w:tc>
          <w:tcPr>
            <w:tcW w:w="2157" w:type="dxa"/>
            <w:tcBorders>
              <w:top w:val="nil"/>
              <w:left w:val="nil"/>
              <w:bottom w:val="single" w:color="auto" w:sz="4" w:space="0"/>
              <w:right w:val="single" w:color="auto" w:sz="4" w:space="0"/>
            </w:tcBorders>
            <w:shd w:val="clear" w:color="auto" w:fill="auto"/>
            <w:noWrap/>
            <w:vAlign w:val="center"/>
          </w:tcPr>
          <w:p w14:paraId="63D43BFA">
            <w:pPr>
              <w:widowControl/>
              <w:jc w:val="center"/>
              <w:rPr>
                <w:rFonts w:ascii="仿宋" w:hAnsi="仿宋" w:eastAsia="仿宋" w:cs="宋体"/>
                <w:color w:val="000000" w:themeColor="text1"/>
                <w:kern w:val="0"/>
                <w:sz w:val="28"/>
                <w:szCs w:val="28"/>
              </w:rPr>
            </w:pPr>
          </w:p>
          <w:p w14:paraId="0DA31D30">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7F3BCA54">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2A91AFD4">
            <w:pPr>
              <w:widowControl/>
              <w:jc w:val="center"/>
              <w:rPr>
                <w:rFonts w:ascii="仿宋" w:hAnsi="仿宋" w:eastAsia="仿宋" w:cs="宋体"/>
                <w:color w:val="000000" w:themeColor="text1"/>
                <w:kern w:val="0"/>
                <w:sz w:val="28"/>
                <w:szCs w:val="28"/>
              </w:rPr>
            </w:pPr>
          </w:p>
        </w:tc>
      </w:tr>
      <w:tr w14:paraId="3FB043C0">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5516EF21">
            <w:pPr>
              <w:widowControl/>
              <w:jc w:val="center"/>
              <w:rPr>
                <w:rFonts w:ascii="仿宋" w:hAnsi="仿宋" w:eastAsia="仿宋" w:cs="宋体"/>
                <w:color w:val="000000" w:themeColor="text1"/>
                <w:kern w:val="0"/>
                <w:sz w:val="28"/>
                <w:szCs w:val="28"/>
              </w:rPr>
            </w:pPr>
          </w:p>
        </w:tc>
        <w:tc>
          <w:tcPr>
            <w:tcW w:w="2100" w:type="dxa"/>
            <w:tcBorders>
              <w:top w:val="nil"/>
              <w:left w:val="nil"/>
              <w:bottom w:val="single" w:color="auto" w:sz="4" w:space="0"/>
              <w:right w:val="single" w:color="auto" w:sz="4" w:space="0"/>
            </w:tcBorders>
            <w:shd w:val="clear" w:color="auto" w:fill="auto"/>
            <w:noWrap/>
            <w:vAlign w:val="center"/>
          </w:tcPr>
          <w:p w14:paraId="5754A602">
            <w:pPr>
              <w:widowControl/>
              <w:jc w:val="center"/>
              <w:rPr>
                <w:rFonts w:ascii="仿宋" w:hAnsi="仿宋" w:eastAsia="仿宋" w:cs="宋体"/>
                <w:color w:val="000000" w:themeColor="text1"/>
                <w:kern w:val="0"/>
                <w:sz w:val="28"/>
                <w:szCs w:val="28"/>
              </w:rPr>
            </w:pPr>
          </w:p>
        </w:tc>
        <w:tc>
          <w:tcPr>
            <w:tcW w:w="2157" w:type="dxa"/>
            <w:tcBorders>
              <w:top w:val="nil"/>
              <w:left w:val="nil"/>
              <w:bottom w:val="single" w:color="auto" w:sz="4" w:space="0"/>
              <w:right w:val="single" w:color="auto" w:sz="4" w:space="0"/>
            </w:tcBorders>
            <w:shd w:val="clear" w:color="auto" w:fill="auto"/>
            <w:noWrap/>
            <w:vAlign w:val="center"/>
          </w:tcPr>
          <w:p w14:paraId="70AEAFDA">
            <w:pPr>
              <w:widowControl/>
              <w:jc w:val="center"/>
              <w:rPr>
                <w:rFonts w:ascii="仿宋" w:hAnsi="仿宋" w:eastAsia="仿宋" w:cs="宋体"/>
                <w:color w:val="000000" w:themeColor="text1"/>
                <w:kern w:val="0"/>
                <w:sz w:val="28"/>
                <w:szCs w:val="28"/>
              </w:rPr>
            </w:pPr>
          </w:p>
          <w:p w14:paraId="7E0584E5">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349CD7E4">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02613765">
            <w:pPr>
              <w:widowControl/>
              <w:jc w:val="center"/>
              <w:rPr>
                <w:rFonts w:ascii="仿宋" w:hAnsi="仿宋" w:eastAsia="仿宋" w:cs="宋体"/>
                <w:color w:val="000000" w:themeColor="text1"/>
                <w:kern w:val="0"/>
                <w:sz w:val="28"/>
                <w:szCs w:val="28"/>
              </w:rPr>
            </w:pPr>
          </w:p>
        </w:tc>
      </w:tr>
      <w:tr w14:paraId="1901CD71">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17F3F6DC">
            <w:pPr>
              <w:widowControl/>
              <w:jc w:val="center"/>
              <w:rPr>
                <w:rFonts w:ascii="仿宋" w:hAnsi="仿宋" w:eastAsia="仿宋" w:cs="宋体"/>
                <w:color w:val="000000" w:themeColor="text1"/>
                <w:kern w:val="0"/>
                <w:sz w:val="28"/>
                <w:szCs w:val="28"/>
              </w:rPr>
            </w:pPr>
          </w:p>
        </w:tc>
        <w:tc>
          <w:tcPr>
            <w:tcW w:w="2100" w:type="dxa"/>
            <w:tcBorders>
              <w:top w:val="nil"/>
              <w:left w:val="nil"/>
              <w:bottom w:val="single" w:color="auto" w:sz="4" w:space="0"/>
              <w:right w:val="single" w:color="auto" w:sz="4" w:space="0"/>
            </w:tcBorders>
            <w:shd w:val="clear" w:color="auto" w:fill="auto"/>
            <w:noWrap/>
            <w:vAlign w:val="center"/>
          </w:tcPr>
          <w:p w14:paraId="6BE36EEE">
            <w:pPr>
              <w:widowControl/>
              <w:jc w:val="center"/>
              <w:rPr>
                <w:rFonts w:ascii="仿宋" w:hAnsi="仿宋" w:eastAsia="仿宋" w:cs="宋体"/>
                <w:color w:val="000000" w:themeColor="text1"/>
                <w:kern w:val="0"/>
                <w:sz w:val="28"/>
                <w:szCs w:val="28"/>
              </w:rPr>
            </w:pPr>
          </w:p>
        </w:tc>
        <w:tc>
          <w:tcPr>
            <w:tcW w:w="2157" w:type="dxa"/>
            <w:tcBorders>
              <w:top w:val="nil"/>
              <w:left w:val="nil"/>
              <w:bottom w:val="single" w:color="auto" w:sz="4" w:space="0"/>
              <w:right w:val="single" w:color="auto" w:sz="4" w:space="0"/>
            </w:tcBorders>
            <w:shd w:val="clear" w:color="auto" w:fill="auto"/>
            <w:noWrap/>
            <w:vAlign w:val="center"/>
          </w:tcPr>
          <w:p w14:paraId="7675B05F">
            <w:pPr>
              <w:widowControl/>
              <w:jc w:val="center"/>
              <w:rPr>
                <w:rFonts w:ascii="仿宋" w:hAnsi="仿宋" w:eastAsia="仿宋" w:cs="宋体"/>
                <w:color w:val="000000" w:themeColor="text1"/>
                <w:kern w:val="0"/>
                <w:sz w:val="28"/>
                <w:szCs w:val="28"/>
              </w:rPr>
            </w:pPr>
          </w:p>
          <w:p w14:paraId="0E116894">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7E1C09B2">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223ADF8C">
            <w:pPr>
              <w:widowControl/>
              <w:jc w:val="center"/>
              <w:rPr>
                <w:rFonts w:ascii="仿宋" w:hAnsi="仿宋" w:eastAsia="仿宋" w:cs="宋体"/>
                <w:color w:val="000000" w:themeColor="text1"/>
                <w:kern w:val="0"/>
                <w:sz w:val="28"/>
                <w:szCs w:val="28"/>
              </w:rPr>
            </w:pPr>
          </w:p>
        </w:tc>
      </w:tr>
      <w:tr w14:paraId="4F0E9D59">
        <w:trPr>
          <w:trHeight w:val="680" w:hRule="exact"/>
          <w:jc w:val="center"/>
        </w:trPr>
        <w:tc>
          <w:tcPr>
            <w:tcW w:w="783" w:type="dxa"/>
            <w:tcBorders>
              <w:top w:val="nil"/>
              <w:left w:val="single" w:color="auto" w:sz="4" w:space="0"/>
              <w:bottom w:val="single" w:color="auto" w:sz="4" w:space="0"/>
              <w:right w:val="single" w:color="auto" w:sz="4" w:space="0"/>
            </w:tcBorders>
            <w:shd w:val="clear" w:color="auto" w:fill="auto"/>
            <w:noWrap/>
            <w:vAlign w:val="center"/>
          </w:tcPr>
          <w:p w14:paraId="151AE150">
            <w:pPr>
              <w:widowControl/>
              <w:jc w:val="center"/>
              <w:rPr>
                <w:rFonts w:ascii="仿宋" w:hAnsi="仿宋" w:eastAsia="仿宋" w:cs="宋体"/>
                <w:color w:val="000000" w:themeColor="text1"/>
                <w:kern w:val="0"/>
                <w:sz w:val="28"/>
                <w:szCs w:val="28"/>
              </w:rPr>
            </w:pPr>
          </w:p>
        </w:tc>
        <w:tc>
          <w:tcPr>
            <w:tcW w:w="2100" w:type="dxa"/>
            <w:tcBorders>
              <w:top w:val="nil"/>
              <w:left w:val="nil"/>
              <w:bottom w:val="single" w:color="auto" w:sz="4" w:space="0"/>
              <w:right w:val="single" w:color="auto" w:sz="4" w:space="0"/>
            </w:tcBorders>
            <w:shd w:val="clear" w:color="auto" w:fill="auto"/>
            <w:noWrap/>
            <w:vAlign w:val="center"/>
          </w:tcPr>
          <w:p w14:paraId="020EB304">
            <w:pPr>
              <w:widowControl/>
              <w:jc w:val="center"/>
              <w:rPr>
                <w:rFonts w:ascii="仿宋" w:hAnsi="仿宋" w:eastAsia="仿宋" w:cs="宋体"/>
                <w:color w:val="000000" w:themeColor="text1"/>
                <w:kern w:val="0"/>
                <w:sz w:val="28"/>
                <w:szCs w:val="28"/>
              </w:rPr>
            </w:pPr>
          </w:p>
        </w:tc>
        <w:tc>
          <w:tcPr>
            <w:tcW w:w="2157" w:type="dxa"/>
            <w:tcBorders>
              <w:top w:val="nil"/>
              <w:left w:val="nil"/>
              <w:bottom w:val="single" w:color="auto" w:sz="4" w:space="0"/>
              <w:right w:val="single" w:color="auto" w:sz="4" w:space="0"/>
            </w:tcBorders>
            <w:shd w:val="clear" w:color="auto" w:fill="auto"/>
            <w:noWrap/>
            <w:vAlign w:val="center"/>
          </w:tcPr>
          <w:p w14:paraId="03435CCC">
            <w:pPr>
              <w:widowControl/>
              <w:jc w:val="center"/>
              <w:rPr>
                <w:rFonts w:ascii="仿宋" w:hAnsi="仿宋" w:eastAsia="仿宋" w:cs="宋体"/>
                <w:color w:val="000000" w:themeColor="text1"/>
                <w:kern w:val="0"/>
                <w:sz w:val="28"/>
                <w:szCs w:val="28"/>
              </w:rPr>
            </w:pPr>
          </w:p>
          <w:p w14:paraId="64166AE3">
            <w:pPr>
              <w:widowControl/>
              <w:jc w:val="center"/>
              <w:rPr>
                <w:rFonts w:ascii="仿宋" w:hAnsi="仿宋" w:eastAsia="仿宋" w:cs="宋体"/>
                <w:color w:val="000000" w:themeColor="text1"/>
                <w:kern w:val="0"/>
                <w:sz w:val="28"/>
                <w:szCs w:val="28"/>
              </w:rPr>
            </w:pPr>
          </w:p>
        </w:tc>
        <w:tc>
          <w:tcPr>
            <w:tcW w:w="2681" w:type="dxa"/>
            <w:tcBorders>
              <w:top w:val="nil"/>
              <w:left w:val="single" w:color="auto" w:sz="4" w:space="0"/>
              <w:bottom w:val="single" w:color="auto" w:sz="4" w:space="0"/>
              <w:right w:val="single" w:color="auto" w:sz="4" w:space="0"/>
            </w:tcBorders>
            <w:vAlign w:val="center"/>
          </w:tcPr>
          <w:p w14:paraId="279398FF">
            <w:pPr>
              <w:widowControl/>
              <w:jc w:val="center"/>
              <w:rPr>
                <w:rFonts w:ascii="仿宋" w:hAnsi="仿宋" w:eastAsia="仿宋" w:cs="宋体"/>
                <w:color w:val="000000" w:themeColor="text1"/>
                <w:kern w:val="0"/>
                <w:sz w:val="28"/>
                <w:szCs w:val="28"/>
              </w:rPr>
            </w:pPr>
          </w:p>
        </w:tc>
        <w:tc>
          <w:tcPr>
            <w:tcW w:w="1459" w:type="dxa"/>
            <w:tcBorders>
              <w:top w:val="nil"/>
              <w:left w:val="single" w:color="auto" w:sz="4" w:space="0"/>
              <w:bottom w:val="single" w:color="auto" w:sz="4" w:space="0"/>
              <w:right w:val="single" w:color="auto" w:sz="4" w:space="0"/>
            </w:tcBorders>
            <w:vAlign w:val="center"/>
          </w:tcPr>
          <w:p w14:paraId="51573040">
            <w:pPr>
              <w:widowControl/>
              <w:jc w:val="center"/>
              <w:rPr>
                <w:rFonts w:ascii="仿宋" w:hAnsi="仿宋" w:eastAsia="仿宋" w:cs="宋体"/>
                <w:color w:val="000000" w:themeColor="text1"/>
                <w:kern w:val="0"/>
                <w:sz w:val="28"/>
                <w:szCs w:val="28"/>
              </w:rPr>
            </w:pPr>
          </w:p>
        </w:tc>
      </w:tr>
    </w:tbl>
    <w:p w14:paraId="18B3BD0D">
      <w:pPr>
        <w:spacing w:line="460" w:lineRule="exact"/>
        <w:jc w:val="left"/>
        <w:rPr>
          <w:rFonts w:ascii="仿宋" w:hAnsi="仿宋" w:eastAsia="仿宋"/>
          <w:color w:val="000000" w:themeColor="text1"/>
          <w:sz w:val="28"/>
          <w:szCs w:val="28"/>
        </w:rPr>
      </w:pPr>
    </w:p>
    <w:p w14:paraId="1E2A8605">
      <w:pPr>
        <w:spacing w:line="460" w:lineRule="exact"/>
        <w:rPr>
          <w:rFonts w:ascii="仿宋" w:hAnsi="仿宋" w:eastAsia="仿宋"/>
          <w:b/>
          <w:bCs/>
          <w:color w:val="000000" w:themeColor="text1"/>
          <w:sz w:val="28"/>
          <w:szCs w:val="28"/>
        </w:rPr>
      </w:pPr>
    </w:p>
    <w:p w14:paraId="5A03838C">
      <w:pPr>
        <w:spacing w:line="460" w:lineRule="exact"/>
        <w:rPr>
          <w:rFonts w:ascii="仿宋" w:hAnsi="仿宋" w:eastAsia="仿宋"/>
          <w:b/>
          <w:bCs/>
          <w:color w:val="000000" w:themeColor="text1"/>
          <w:sz w:val="28"/>
          <w:szCs w:val="28"/>
        </w:rPr>
      </w:pPr>
    </w:p>
    <w:p w14:paraId="70C18F94">
      <w:pPr>
        <w:wordWrap w:val="0"/>
        <w:snapToGrid w:val="0"/>
        <w:spacing w:line="600" w:lineRule="exact"/>
        <w:ind w:firstLine="600"/>
        <w:jc w:val="right"/>
        <w:rPr>
          <w:rFonts w:ascii="仿宋" w:hAnsi="仿宋" w:eastAsia="仿宋"/>
          <w:color w:val="000000" w:themeColor="text1"/>
          <w:sz w:val="28"/>
          <w:szCs w:val="28"/>
        </w:rPr>
      </w:pPr>
      <w:r>
        <w:rPr>
          <w:rFonts w:hint="eastAsia" w:ascii="仿宋" w:hAnsi="仿宋" w:eastAsia="仿宋"/>
          <w:color w:val="000000" w:themeColor="text1"/>
          <w:sz w:val="28"/>
          <w:szCs w:val="28"/>
        </w:rPr>
        <w:t>响应</w:t>
      </w:r>
      <w:r>
        <w:rPr>
          <w:rFonts w:ascii="仿宋" w:hAnsi="仿宋" w:eastAsia="仿宋"/>
          <w:color w:val="000000" w:themeColor="text1"/>
          <w:sz w:val="28"/>
          <w:szCs w:val="28"/>
        </w:rPr>
        <w:t xml:space="preserve">人：   （盖单位章） </w:t>
      </w:r>
    </w:p>
    <w:p w14:paraId="5176332E">
      <w:pPr>
        <w:wordWrap w:val="0"/>
        <w:snapToGrid w:val="0"/>
        <w:spacing w:line="600" w:lineRule="exact"/>
        <w:ind w:right="480" w:firstLine="6580" w:firstLineChars="2350"/>
        <w:jc w:val="right"/>
        <w:rPr>
          <w:rFonts w:ascii="仿宋" w:hAnsi="仿宋" w:eastAsia="仿宋"/>
          <w:color w:val="000000" w:themeColor="text1"/>
          <w:sz w:val="28"/>
          <w:szCs w:val="28"/>
        </w:rPr>
      </w:pPr>
    </w:p>
    <w:p w14:paraId="08518DF9">
      <w:pPr>
        <w:snapToGrid w:val="0"/>
        <w:spacing w:line="600" w:lineRule="exact"/>
        <w:ind w:right="480" w:firstLine="6580" w:firstLineChars="2350"/>
        <w:jc w:val="right"/>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日</w:t>
      </w:r>
    </w:p>
    <w:p w14:paraId="375743FC">
      <w:pPr>
        <w:snapToGrid w:val="0"/>
        <w:spacing w:line="600" w:lineRule="exact"/>
        <w:ind w:right="480" w:firstLine="6580" w:firstLineChars="2350"/>
        <w:jc w:val="right"/>
        <w:rPr>
          <w:rFonts w:ascii="仿宋" w:hAnsi="仿宋" w:eastAsia="仿宋"/>
          <w:color w:val="000000" w:themeColor="text1"/>
          <w:sz w:val="28"/>
          <w:szCs w:val="28"/>
        </w:rPr>
      </w:pPr>
    </w:p>
    <w:p w14:paraId="4EAD87F2">
      <w:pPr>
        <w:snapToGrid w:val="0"/>
        <w:spacing w:line="600" w:lineRule="exact"/>
        <w:ind w:right="480" w:firstLine="6580" w:firstLineChars="2350"/>
        <w:jc w:val="right"/>
        <w:rPr>
          <w:rFonts w:ascii="仿宋" w:hAnsi="仿宋" w:eastAsia="仿宋"/>
          <w:color w:val="000000" w:themeColor="text1"/>
          <w:sz w:val="28"/>
          <w:szCs w:val="28"/>
        </w:rPr>
      </w:pPr>
    </w:p>
    <w:p w14:paraId="1CA789E9">
      <w:pPr>
        <w:snapToGrid w:val="0"/>
        <w:spacing w:line="600" w:lineRule="exact"/>
        <w:ind w:right="480" w:firstLine="6580" w:firstLineChars="2350"/>
        <w:jc w:val="right"/>
        <w:rPr>
          <w:rFonts w:ascii="仿宋" w:hAnsi="仿宋" w:eastAsia="仿宋"/>
          <w:color w:val="000000" w:themeColor="text1"/>
          <w:sz w:val="28"/>
          <w:szCs w:val="28"/>
        </w:rPr>
      </w:pPr>
    </w:p>
    <w:p w14:paraId="09A4B609">
      <w:pPr>
        <w:snapToGrid w:val="0"/>
        <w:spacing w:line="600" w:lineRule="exact"/>
        <w:ind w:right="480" w:firstLine="6580" w:firstLineChars="2350"/>
        <w:jc w:val="right"/>
        <w:rPr>
          <w:rFonts w:ascii="仿宋" w:hAnsi="仿宋" w:eastAsia="仿宋"/>
          <w:color w:val="000000" w:themeColor="text1"/>
          <w:sz w:val="28"/>
          <w:szCs w:val="28"/>
        </w:rPr>
      </w:pPr>
    </w:p>
    <w:p w14:paraId="56E7B91A">
      <w:pPr>
        <w:spacing w:line="460" w:lineRule="exact"/>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w:t>
      </w:r>
      <w:r>
        <w:rPr>
          <w:rFonts w:ascii="仿宋" w:hAnsi="仿宋" w:eastAsia="仿宋"/>
          <w:b/>
          <w:bCs/>
          <w:color w:val="000000" w:themeColor="text1"/>
          <w:sz w:val="28"/>
          <w:szCs w:val="28"/>
        </w:rPr>
        <w:t>4</w:t>
      </w:r>
      <w:r>
        <w:rPr>
          <w:rFonts w:hint="eastAsia" w:ascii="仿宋" w:hAnsi="仿宋" w:eastAsia="仿宋"/>
          <w:b/>
          <w:bCs/>
          <w:color w:val="000000" w:themeColor="text1"/>
          <w:sz w:val="28"/>
          <w:szCs w:val="28"/>
        </w:rPr>
        <w:t>：</w:t>
      </w:r>
    </w:p>
    <w:p w14:paraId="33A245A2">
      <w:pPr>
        <w:snapToGrid w:val="0"/>
        <w:spacing w:line="600" w:lineRule="exact"/>
        <w:ind w:right="480"/>
        <w:jc w:val="left"/>
        <w:rPr>
          <w:rFonts w:ascii="仿宋" w:hAnsi="仿宋" w:eastAsia="仿宋"/>
          <w:b/>
          <w:bCs/>
          <w:color w:val="000000" w:themeColor="text1"/>
          <w:sz w:val="28"/>
          <w:szCs w:val="28"/>
        </w:rPr>
      </w:pPr>
      <w:r>
        <w:rPr>
          <w:rFonts w:hint="eastAsia" w:ascii="仿宋" w:hAnsi="仿宋" w:eastAsia="仿宋"/>
          <w:color w:val="000000" w:themeColor="text1"/>
          <w:sz w:val="24"/>
        </w:rPr>
        <w:t xml:space="preserve"> </w:t>
      </w:r>
      <w:r>
        <w:rPr>
          <w:rFonts w:ascii="仿宋" w:hAnsi="仿宋" w:eastAsia="仿宋"/>
          <w:color w:val="000000" w:themeColor="text1"/>
          <w:sz w:val="24"/>
        </w:rPr>
        <w:t xml:space="preserve">                   </w:t>
      </w:r>
      <w:r>
        <w:rPr>
          <w:rFonts w:ascii="仿宋" w:hAnsi="仿宋" w:eastAsia="仿宋"/>
          <w:b/>
          <w:bCs/>
          <w:color w:val="000000" w:themeColor="text1"/>
          <w:sz w:val="28"/>
          <w:szCs w:val="28"/>
        </w:rPr>
        <w:t xml:space="preserve"> </w:t>
      </w:r>
      <w:r>
        <w:rPr>
          <w:rFonts w:hint="eastAsia" w:ascii="仿宋" w:hAnsi="仿宋" w:eastAsia="仿宋"/>
          <w:b/>
          <w:bCs/>
          <w:color w:val="000000" w:themeColor="text1"/>
          <w:sz w:val="28"/>
          <w:szCs w:val="28"/>
        </w:rPr>
        <w:t>营业执照及执业资格证书</w:t>
      </w:r>
    </w:p>
    <w:p w14:paraId="52944080">
      <w:pPr>
        <w:snapToGrid w:val="0"/>
        <w:spacing w:line="600" w:lineRule="exact"/>
        <w:ind w:right="480"/>
        <w:jc w:val="left"/>
        <w:rPr>
          <w:rFonts w:ascii="仿宋" w:hAnsi="仿宋" w:eastAsia="仿宋"/>
          <w:color w:val="000000" w:themeColor="text1"/>
          <w:sz w:val="28"/>
          <w:szCs w:val="28"/>
        </w:rPr>
      </w:pPr>
      <w:r>
        <w:rPr>
          <w:rFonts w:hint="eastAsia" w:ascii="仿宋" w:hAnsi="仿宋" w:eastAsia="仿宋"/>
          <w:color w:val="000000" w:themeColor="text1"/>
          <w:sz w:val="28"/>
          <w:szCs w:val="28"/>
        </w:rPr>
        <w:t>本页后附营业执照复印件</w:t>
      </w:r>
    </w:p>
    <w:sectPr>
      <w:footerReference r:id="rId3" w:type="default"/>
      <w:pgSz w:w="11906" w:h="16838"/>
      <w:pgMar w:top="1440" w:right="1558" w:bottom="1440" w:left="156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方正小标宋_GBK"/>
    <w:panose1 w:val="02000000000000000000"/>
    <w:charset w:val="86"/>
    <w:family w:val="auto"/>
    <w:pitch w:val="default"/>
    <w:sig w:usb0="00000000" w:usb1="00000000" w:usb2="00000012" w:usb3="00000000" w:csb0="00040001" w:csb1="00000000"/>
  </w:font>
  <w:font w:name="国标仿宋-GB/T 2312">
    <w:altName w:val="方正仿宋_GBK"/>
    <w:panose1 w:val="02000500000000000000"/>
    <w:charset w:val="86"/>
    <w:family w:val="auto"/>
    <w:pitch w:val="default"/>
    <w:sig w:usb0="00000000" w:usb1="00000000" w:usb2="00000010" w:usb3="00000000" w:csb0="00040000" w:csb1="00000000"/>
  </w:font>
  <w:font w:name="国标黑体">
    <w:altName w:val="汉仪中黑KW"/>
    <w:panose1 w:val="020005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1757">
    <w:pPr>
      <w:pStyle w:val="7"/>
      <w:jc w:val="center"/>
    </w:pPr>
    <w:r>
      <w:fldChar w:fldCharType="begin"/>
    </w:r>
    <w:r>
      <w:instrText xml:space="preserve"> PAGE   \* MERGEFORMAT </w:instrText>
    </w:r>
    <w:r>
      <w:fldChar w:fldCharType="separate"/>
    </w:r>
    <w:r>
      <w:rPr>
        <w:lang w:val="zh-CN"/>
      </w:rPr>
      <w:t>3</w:t>
    </w:r>
    <w:r>
      <w:rPr>
        <w:lang w:val="zh-CN"/>
      </w:rPr>
      <w:fldChar w:fldCharType="end"/>
    </w:r>
  </w:p>
  <w:p w14:paraId="1451995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47"/>
    <w:rsid w:val="000036D2"/>
    <w:rsid w:val="000074EC"/>
    <w:rsid w:val="000106D4"/>
    <w:rsid w:val="0001355C"/>
    <w:rsid w:val="00014878"/>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764E"/>
    <w:rsid w:val="000F7E47"/>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763"/>
    <w:rsid w:val="002F6E3B"/>
    <w:rsid w:val="002F6E5A"/>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30B"/>
    <w:rsid w:val="00367D1F"/>
    <w:rsid w:val="00370B94"/>
    <w:rsid w:val="003717AB"/>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5A3F"/>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3CD8"/>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84D"/>
    <w:rsid w:val="006609AA"/>
    <w:rsid w:val="006637B5"/>
    <w:rsid w:val="006640DC"/>
    <w:rsid w:val="0066495C"/>
    <w:rsid w:val="006663AE"/>
    <w:rsid w:val="00666824"/>
    <w:rsid w:val="00667934"/>
    <w:rsid w:val="00672788"/>
    <w:rsid w:val="006755D6"/>
    <w:rsid w:val="006771A5"/>
    <w:rsid w:val="00681066"/>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4770"/>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31394"/>
    <w:rsid w:val="00837EAF"/>
    <w:rsid w:val="00844FEF"/>
    <w:rsid w:val="00845E39"/>
    <w:rsid w:val="00847384"/>
    <w:rsid w:val="008518CA"/>
    <w:rsid w:val="00851B24"/>
    <w:rsid w:val="0085298D"/>
    <w:rsid w:val="00854933"/>
    <w:rsid w:val="00857532"/>
    <w:rsid w:val="00863F5B"/>
    <w:rsid w:val="00867888"/>
    <w:rsid w:val="00867D1C"/>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C4B"/>
    <w:rsid w:val="009C6329"/>
    <w:rsid w:val="009D2E3E"/>
    <w:rsid w:val="009D3EAA"/>
    <w:rsid w:val="009D59E9"/>
    <w:rsid w:val="009E299D"/>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AAC"/>
    <w:rsid w:val="00C47FF3"/>
    <w:rsid w:val="00C54BC6"/>
    <w:rsid w:val="00C5615D"/>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43B9"/>
    <w:rsid w:val="00E14956"/>
    <w:rsid w:val="00E16138"/>
    <w:rsid w:val="00E218C5"/>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7A3F"/>
    <w:rsid w:val="00F50BB3"/>
    <w:rsid w:val="00F52E60"/>
    <w:rsid w:val="00F6256A"/>
    <w:rsid w:val="00F62A99"/>
    <w:rsid w:val="00F631CE"/>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16E87ECA"/>
    <w:rsid w:val="2C024D13"/>
    <w:rsid w:val="2F634273"/>
    <w:rsid w:val="3BC11B38"/>
    <w:rsid w:val="42F21583"/>
    <w:rsid w:val="502F1FE5"/>
    <w:rsid w:val="6BA82CF2"/>
    <w:rsid w:val="75F960B6"/>
    <w:rsid w:val="7DF53D3C"/>
    <w:rsid w:val="7FD7A6D9"/>
    <w:rsid w:val="7FDE2FF0"/>
    <w:rsid w:val="7FE81E94"/>
    <w:rsid w:val="7FFF1ED0"/>
    <w:rsid w:val="DAFF79C1"/>
    <w:rsid w:val="E7FAD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4"/>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unhideWhenUsed/>
    <w:qFormat/>
    <w:uiPriority w:val="0"/>
    <w:pPr>
      <w:ind w:firstLine="420"/>
    </w:pPr>
  </w:style>
  <w:style w:type="paragraph" w:styleId="4">
    <w:name w:val="Body Text"/>
    <w:basedOn w:val="1"/>
    <w:link w:val="22"/>
    <w:semiHidden/>
    <w:unhideWhenUsed/>
    <w:qFormat/>
    <w:uiPriority w:val="99"/>
    <w:pPr>
      <w:spacing w:after="120"/>
    </w:pPr>
  </w:style>
  <w:style w:type="paragraph" w:styleId="5">
    <w:name w:val="Plain Text"/>
    <w:basedOn w:val="1"/>
    <w:link w:val="20"/>
    <w:qFormat/>
    <w:uiPriority w:val="0"/>
    <w:rPr>
      <w:rFonts w:ascii="宋体" w:hAnsi="Courier New"/>
      <w:szCs w:val="20"/>
    </w:rPr>
  </w:style>
  <w:style w:type="paragraph" w:styleId="6">
    <w:name w:val="Date"/>
    <w:basedOn w:val="1"/>
    <w:next w:val="1"/>
    <w:link w:val="16"/>
    <w:semiHidden/>
    <w:unhideWhenUsed/>
    <w:qFormat/>
    <w:uiPriority w:val="99"/>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link w:val="23"/>
    <w:qFormat/>
    <w:uiPriority w:val="0"/>
    <w:pPr>
      <w:ind w:firstLine="420" w:firstLineChars="100"/>
    </w:pPr>
    <w:rPr>
      <w:rFonts w:ascii="Times New Roman" w:hAnsi="Times New Roman"/>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link w:val="8"/>
    <w:qFormat/>
    <w:uiPriority w:val="99"/>
    <w:rPr>
      <w:kern w:val="2"/>
      <w:sz w:val="18"/>
      <w:szCs w:val="18"/>
    </w:rPr>
  </w:style>
  <w:style w:type="character" w:customStyle="1" w:styleId="15">
    <w:name w:val="页脚 字符"/>
    <w:link w:val="7"/>
    <w:qFormat/>
    <w:uiPriority w:val="99"/>
    <w:rPr>
      <w:kern w:val="2"/>
      <w:sz w:val="18"/>
      <w:szCs w:val="18"/>
    </w:rPr>
  </w:style>
  <w:style w:type="character" w:customStyle="1" w:styleId="16">
    <w:name w:val="日期 字符"/>
    <w:link w:val="6"/>
    <w:semiHidden/>
    <w:qFormat/>
    <w:uiPriority w:val="99"/>
    <w:rPr>
      <w:kern w:val="2"/>
      <w:sz w:val="21"/>
      <w:szCs w:val="22"/>
    </w:rPr>
  </w:style>
  <w:style w:type="paragraph" w:customStyle="1" w:styleId="17">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18">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19">
    <w:name w:val="正文缩进 字符"/>
    <w:link w:val="3"/>
    <w:qFormat/>
    <w:uiPriority w:val="0"/>
    <w:rPr>
      <w:kern w:val="2"/>
      <w:sz w:val="21"/>
      <w:szCs w:val="22"/>
    </w:rPr>
  </w:style>
  <w:style w:type="character" w:customStyle="1" w:styleId="20">
    <w:name w:val="纯文本 字符"/>
    <w:link w:val="5"/>
    <w:qFormat/>
    <w:uiPriority w:val="0"/>
    <w:rPr>
      <w:rFonts w:ascii="宋体" w:hAnsi="Courier New"/>
      <w:kern w:val="2"/>
      <w:sz w:val="21"/>
    </w:rPr>
  </w:style>
  <w:style w:type="paragraph" w:customStyle="1" w:styleId="21">
    <w:name w:val="默认段落字体 Para Char Char Char"/>
    <w:basedOn w:val="1"/>
    <w:qFormat/>
    <w:uiPriority w:val="0"/>
    <w:rPr>
      <w:rFonts w:ascii="Times New Roman" w:hAnsi="Times New Roman"/>
      <w:szCs w:val="24"/>
    </w:rPr>
  </w:style>
  <w:style w:type="character" w:customStyle="1" w:styleId="22">
    <w:name w:val="正文文本 字符"/>
    <w:link w:val="4"/>
    <w:semiHidden/>
    <w:qFormat/>
    <w:uiPriority w:val="99"/>
    <w:rPr>
      <w:kern w:val="2"/>
      <w:sz w:val="21"/>
      <w:szCs w:val="22"/>
    </w:rPr>
  </w:style>
  <w:style w:type="character" w:customStyle="1" w:styleId="23">
    <w:name w:val="正文文本首行缩进 字符"/>
    <w:link w:val="10"/>
    <w:qFormat/>
    <w:uiPriority w:val="0"/>
    <w:rPr>
      <w:rFonts w:ascii="Times New Roman" w:hAnsi="Times New Roman"/>
      <w:kern w:val="2"/>
      <w:sz w:val="21"/>
      <w:szCs w:val="24"/>
    </w:rPr>
  </w:style>
  <w:style w:type="character" w:customStyle="1" w:styleId="24">
    <w:name w:val="标题 2 字符"/>
    <w:link w:val="2"/>
    <w:qFormat/>
    <w:uiPriority w:val="0"/>
    <w:rPr>
      <w:rFonts w:ascii="新宋体" w:hAnsi="Cambria" w:eastAsia="新宋体"/>
      <w:b/>
      <w:bCs/>
      <w:kern w:val="2"/>
      <w:sz w:val="32"/>
      <w:szCs w:val="32"/>
    </w:rPr>
  </w:style>
  <w:style w:type="paragraph" w:customStyle="1" w:styleId="2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
    <w:name w:val="纯文本 Char1"/>
    <w:basedOn w:val="13"/>
    <w:qFormat/>
    <w:uiPriority w:val="0"/>
    <w:rPr>
      <w:rFonts w:ascii="宋体" w:hAnsi="Courier New" w:eastAsia="宋体" w:cs="Courier New"/>
      <w:kern w:val="2"/>
      <w:sz w:val="21"/>
      <w:szCs w:val="21"/>
      <w:lang w:val="en-US" w:eastAsia="zh-CN" w:bidi="ar-SA"/>
    </w:rPr>
  </w:style>
  <w:style w:type="paragraph" w:styleId="27">
    <w:name w:val="List Paragraph"/>
    <w:basedOn w:val="1"/>
    <w:qFormat/>
    <w:uiPriority w:val="34"/>
    <w:pPr>
      <w:ind w:firstLine="420" w:firstLineChars="200"/>
    </w:pPr>
  </w:style>
  <w:style w:type="paragraph" w:customStyle="1" w:styleId="28">
    <w:name w:val="Default"/>
    <w:unhideWhenUsed/>
    <w:qFormat/>
    <w:uiPriority w:val="99"/>
    <w:pPr>
      <w:widowControl w:val="0"/>
      <w:autoSpaceDE w:val="0"/>
      <w:autoSpaceDN w:val="0"/>
      <w:adjustRightInd w:val="0"/>
      <w:spacing w:beforeLines="0" w:afterLines="0"/>
    </w:pPr>
    <w:rPr>
      <w:rFonts w:hint="eastAsia" w:ascii="仿宋" w:hAnsi="仿宋" w:eastAsia="仿宋"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526</Words>
  <Characters>3001</Characters>
  <Lines>25</Lines>
  <Paragraphs>7</Paragraphs>
  <TotalTime>0</TotalTime>
  <ScaleCrop>false</ScaleCrop>
  <LinksUpToDate>false</LinksUpToDate>
  <CharactersWithSpaces>3520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2013-11-09T18:32:00Z</dcterms:created>
  <dc:creator>Administrator</dc:creator>
  <cp:lastModifiedBy>Jmy</cp:lastModifiedBy>
  <cp:lastPrinted>2025-12-20T22:45:00Z</cp:lastPrinted>
  <dcterms:modified xsi:type="dcterms:W3CDTF">2025-12-22T16:36:21Z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840AA084FCB2801E05034969073DCDC4_43</vt:lpwstr>
  </property>
</Properties>
</file>