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5E66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贵阳市农业农垦投资发展集团有限公司司库体系建设竞争性磋商三次采购项目</w:t>
      </w:r>
    </w:p>
    <w:p w14:paraId="4F763A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方正小标宋_GBK" w:hAnsi="仿宋" w:eastAsia="方正小标宋_GBK"/>
          <w:b w:val="0"/>
          <w:bCs/>
          <w:color w:val="000000" w:themeColor="text1"/>
          <w:kern w:val="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公告</w:t>
      </w:r>
    </w:p>
    <w:p w14:paraId="4879358D">
      <w:pPr>
        <w:keepNext w:val="0"/>
        <w:keepLines w:val="0"/>
        <w:pageBreakBefore w:val="0"/>
        <w:widowControl/>
        <w:kinsoku/>
        <w:wordWrap/>
        <w:overflowPunct/>
        <w:topLinePunct w:val="0"/>
        <w:autoSpaceDE/>
        <w:autoSpaceDN/>
        <w:bidi w:val="0"/>
        <w:adjustRightInd w:val="0"/>
        <w:snapToGrid w:val="0"/>
        <w:spacing w:before="313" w:beforeLines="100"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贵阳市农业农垦投资发展集团有限公司拟采购一家供应商承担集团司库体系建设工作，现邀请有相关资质的商家参与竞争性磋商，欢迎贵方参加。</w:t>
      </w:r>
    </w:p>
    <w:p w14:paraId="51387AA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b/>
          <w:sz w:val="32"/>
          <w:szCs w:val="32"/>
        </w:rPr>
      </w:pPr>
      <w:r>
        <w:rPr>
          <w:rFonts w:hint="eastAsia" w:ascii="仿宋" w:hAnsi="仿宋" w:eastAsia="仿宋"/>
          <w:b/>
          <w:sz w:val="32"/>
          <w:szCs w:val="32"/>
        </w:rPr>
        <w:t>一、具体要求如下：</w:t>
      </w:r>
    </w:p>
    <w:p w14:paraId="287F9B4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lang w:eastAsia="zh-CN"/>
        </w:rPr>
      </w:pPr>
      <w:r>
        <w:rPr>
          <w:rFonts w:hint="eastAsia" w:ascii="仿宋" w:hAnsi="仿宋" w:eastAsia="仿宋"/>
          <w:b/>
          <w:sz w:val="32"/>
          <w:szCs w:val="32"/>
        </w:rPr>
        <w:t>（一）项目</w:t>
      </w:r>
      <w:r>
        <w:rPr>
          <w:rFonts w:hint="eastAsia" w:ascii="仿宋" w:hAnsi="仿宋" w:eastAsia="仿宋"/>
          <w:b/>
          <w:sz w:val="32"/>
          <w:szCs w:val="32"/>
          <w:lang w:val="en-US" w:eastAsia="zh-CN"/>
        </w:rPr>
        <w:t>名称</w:t>
      </w:r>
    </w:p>
    <w:p w14:paraId="4D9F0DA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司库体系建设项目</w:t>
      </w:r>
    </w:p>
    <w:p w14:paraId="7F42A05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（二）项目预算</w:t>
      </w:r>
    </w:p>
    <w:p w14:paraId="76AB85DF">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项目系统购置费</w:t>
      </w:r>
      <w:r>
        <w:rPr>
          <w:rFonts w:hint="eastAsia" w:ascii="Times New Roman" w:hAnsi="Times New Roman" w:eastAsia="仿宋"/>
          <w:sz w:val="32"/>
          <w:szCs w:val="32"/>
          <w:lang w:val="en-US" w:eastAsia="zh-CN"/>
        </w:rPr>
        <w:t>10</w:t>
      </w:r>
      <w:r>
        <w:rPr>
          <w:rFonts w:hint="eastAsia" w:ascii="仿宋" w:hAnsi="仿宋" w:eastAsia="仿宋"/>
          <w:sz w:val="32"/>
          <w:szCs w:val="32"/>
          <w:lang w:val="en-US" w:eastAsia="zh-CN"/>
        </w:rPr>
        <w:t>万元以内（不含本数）</w:t>
      </w:r>
    </w:p>
    <w:p w14:paraId="7609516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1" w:firstLineChars="0"/>
        <w:jc w:val="left"/>
        <w:textAlignment w:val="auto"/>
        <w:rPr>
          <w:rFonts w:hint="eastAsia" w:ascii="仿宋" w:hAnsi="仿宋" w:eastAsia="仿宋"/>
          <w:b/>
          <w:sz w:val="32"/>
          <w:szCs w:val="32"/>
          <w:lang w:val="en-US" w:eastAsia="zh-CN"/>
        </w:rPr>
      </w:pPr>
      <w:r>
        <w:rPr>
          <w:rFonts w:hint="eastAsia" w:ascii="仿宋" w:hAnsi="仿宋" w:eastAsia="仿宋" w:cstheme="minorBidi"/>
          <w:b/>
          <w:kern w:val="2"/>
          <w:sz w:val="32"/>
          <w:szCs w:val="32"/>
          <w:lang w:val="en-US" w:eastAsia="zh-CN" w:bidi="ar-SA"/>
        </w:rPr>
        <w:t>（三）</w:t>
      </w:r>
      <w:r>
        <w:rPr>
          <w:rFonts w:hint="eastAsia" w:ascii="仿宋" w:hAnsi="仿宋" w:eastAsia="仿宋"/>
          <w:b/>
          <w:sz w:val="32"/>
          <w:szCs w:val="32"/>
          <w:lang w:val="en-US" w:eastAsia="zh-CN"/>
        </w:rPr>
        <w:t>采购方式</w:t>
      </w:r>
    </w:p>
    <w:p w14:paraId="105C4787">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Hans"/>
        </w:rPr>
        <w:t>竞争性磋商</w:t>
      </w:r>
      <w:r>
        <w:rPr>
          <w:rFonts w:hint="eastAsia" w:ascii="仿宋" w:hAnsi="仿宋" w:eastAsia="仿宋"/>
          <w:sz w:val="32"/>
          <w:szCs w:val="32"/>
          <w:lang w:val="en-US" w:eastAsia="zh-CN"/>
        </w:rPr>
        <w:t>方式采购</w:t>
      </w:r>
    </w:p>
    <w:p w14:paraId="3A5110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1" w:firstLineChars="0"/>
        <w:jc w:val="left"/>
        <w:textAlignment w:val="auto"/>
        <w:rPr>
          <w:rFonts w:hint="eastAsia" w:ascii="仿宋" w:hAnsi="仿宋" w:eastAsia="仿宋"/>
          <w:b/>
          <w:sz w:val="32"/>
          <w:szCs w:val="32"/>
        </w:rPr>
      </w:pPr>
      <w:r>
        <w:rPr>
          <w:rFonts w:hint="eastAsia" w:ascii="仿宋" w:hAnsi="仿宋" w:eastAsia="仿宋" w:cstheme="minorBidi"/>
          <w:b/>
          <w:kern w:val="2"/>
          <w:sz w:val="32"/>
          <w:szCs w:val="32"/>
          <w:lang w:val="en-US" w:eastAsia="zh-CN" w:bidi="ar-SA"/>
        </w:rPr>
        <w:t>（四）</w:t>
      </w:r>
      <w:r>
        <w:rPr>
          <w:rFonts w:hint="eastAsia" w:ascii="仿宋" w:hAnsi="仿宋" w:eastAsia="仿宋"/>
          <w:b/>
          <w:sz w:val="32"/>
          <w:szCs w:val="32"/>
        </w:rPr>
        <w:t>采购</w:t>
      </w:r>
      <w:r>
        <w:rPr>
          <w:rFonts w:hint="eastAsia" w:ascii="仿宋" w:hAnsi="仿宋" w:eastAsia="仿宋"/>
          <w:b/>
          <w:sz w:val="32"/>
          <w:szCs w:val="32"/>
          <w:lang w:val="en-US" w:eastAsia="zh-CN"/>
        </w:rPr>
        <w:t>服务范围</w:t>
      </w:r>
    </w:p>
    <w:tbl>
      <w:tblPr>
        <w:tblStyle w:val="6"/>
        <w:tblW w:w="9561" w:type="dxa"/>
        <w:tblInd w:w="93" w:type="dxa"/>
        <w:tblLayout w:type="fixed"/>
        <w:tblCellMar>
          <w:top w:w="0" w:type="dxa"/>
          <w:left w:w="108" w:type="dxa"/>
          <w:bottom w:w="0" w:type="dxa"/>
          <w:right w:w="108" w:type="dxa"/>
        </w:tblCellMar>
      </w:tblPr>
      <w:tblGrid>
        <w:gridCol w:w="525"/>
        <w:gridCol w:w="765"/>
        <w:gridCol w:w="705"/>
        <w:gridCol w:w="825"/>
        <w:gridCol w:w="3041"/>
        <w:gridCol w:w="664"/>
        <w:gridCol w:w="795"/>
        <w:gridCol w:w="1080"/>
        <w:gridCol w:w="1161"/>
      </w:tblGrid>
      <w:tr w14:paraId="2B1D2E9C">
        <w:trPr>
          <w:trHeight w:val="510" w:hRule="atLeast"/>
          <w:tblHead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B1F">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C5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软件名称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DFFE">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7D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模块功能名称</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C49">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模块功能描述</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6F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76C">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9A2">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单价</w:t>
            </w:r>
          </w:p>
          <w:p w14:paraId="6C1C2A0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6D0">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小计</w:t>
            </w:r>
          </w:p>
          <w:p w14:paraId="29C148FB">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bidi="ar"/>
              </w:rPr>
              <w:t>万元）</w:t>
            </w:r>
          </w:p>
        </w:tc>
      </w:tr>
      <w:tr w14:paraId="580D9838">
        <w:trPr>
          <w:trHeight w:val="10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7FF">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9543">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司库管理应用系统</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AB42D">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kern w:val="0"/>
              </w:rPr>
            </w:pPr>
            <w:r>
              <w:rPr>
                <w:rFonts w:hint="eastAsia" w:ascii="仿宋_GB2312" w:hAnsi="仿宋_GB2312" w:eastAsia="仿宋_GB2312" w:cs="仿宋_GB2312"/>
              </w:rPr>
              <w:t>公共设置</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6E9">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公共设置是系统运转的基石，集成各模块基础数据的管理功能，如组织机构搭建、用户与角色的权限设置、利率和汇率的维护等等。平台中心则是审批中心和通知中心的总称，包含审批流程定义、系统信息推送等核心功能，通过自定义流程及通知规则，满足不同企业在不同场景下的审批及消息通知要求。</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B4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BBD">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1BD">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restart"/>
            <w:tcBorders>
              <w:top w:val="single" w:color="000000" w:sz="4" w:space="0"/>
              <w:left w:val="single" w:color="000000" w:sz="4" w:space="0"/>
              <w:right w:val="single" w:color="000000" w:sz="4" w:space="0"/>
            </w:tcBorders>
            <w:shd w:val="clear" w:color="auto" w:fill="auto"/>
            <w:vAlign w:val="center"/>
          </w:tcPr>
          <w:p w14:paraId="70D3B9D1">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10</w:t>
            </w:r>
          </w:p>
        </w:tc>
      </w:tr>
      <w:tr w14:paraId="2A5B9EE3">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FB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2</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C0D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F3E4">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E61">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账户管理为企业提供一站式账户管理服务。账户管理模块，是连接企业和多银行的桥梁，在业务层面上覆盖等多种账户业务场景，用户可以使用账户模块，进行账户管理、明细管理、对账管理、利息测算等操作，并支持快速、准确地查询账户的实时余额、历史余额、交易明细、电子回单;通过统一的审批流规范管理集团内的账户，达到帮助企业提高账户业务的查询效率、提升自动对账概率、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EC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D43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AFA">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54FCEB">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E30486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D58">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3</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AA2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2A3A">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6C7">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支付管理为企业提供一站式结算管理服务。支付管理模块集成了跨银行、跨币种结算功能，在业务层面上覆盖供应商付款、成员单位内部划款、员工报销、代发工资、集团资金归集与回拨等多种场景，并支持快速查询支付结果;通过统一的审批流规范管理集团内支付业务流程、并支持设置监控规则管控资金支付风险，达到帮助企业提高结算业务处理效率、管控支付流程与风险、降低财务成本。</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90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CE3">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9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6E167B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4EB78A0">
        <w:trPr>
          <w:trHeight w:val="74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4C4">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4</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F9D9">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BB7D">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票据管理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82F">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lang w:val="en-US" w:eastAsia="zh-CN"/>
              </w:rPr>
              <w:t>司库系统票据模块</w:t>
            </w:r>
            <w:r>
              <w:rPr>
                <w:rFonts w:hint="eastAsia" w:ascii="仿宋_GB2312" w:hAnsi="仿宋_GB2312" w:eastAsia="仿宋_GB2312" w:cs="仿宋_GB2312"/>
              </w:rPr>
              <w:t>为企业提供全生命周期业务功能，其中信贷端场景如开票签发，结算端场景如收票、背书，融资端场景如质押、贴现。一站式帮助集团企业接入多银行票据直联，统一开放集中接入能力，为集团企业大程度屏蔽各行差异性、缩减研发、沟通成本。同时提供台账、直联兼容的灵活管理方式，从而帮助集团进行集中化管理，从顶点掌握统筹、灵活调配票据资产，提升票据管理效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5B5">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C0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15F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6805E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2AA5D08B">
        <w:trPr>
          <w:trHeight w:val="229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AB62">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5</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F8E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CA9FB">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内部户管理</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C7C2">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内部户</w:t>
            </w:r>
            <w:r>
              <w:rPr>
                <w:rFonts w:hint="eastAsia" w:ascii="仿宋_GB2312" w:hAnsi="仿宋_GB2312" w:eastAsia="仿宋_GB2312" w:cs="仿宋_GB2312"/>
                <w:lang w:val="en-US" w:eastAsia="zh-CN"/>
              </w:rPr>
              <w:t>账户管理</w:t>
            </w:r>
            <w:r>
              <w:rPr>
                <w:rFonts w:hint="eastAsia" w:ascii="仿宋_GB2312" w:hAnsi="仿宋_GB2312" w:eastAsia="仿宋_GB2312" w:cs="仿宋_GB2312"/>
              </w:rPr>
              <w:t>建立了一个集团内部资金头寸的管理平台，统计下属企业在集团上存的资金情况，按照银行的方法为下属企业在集团的存款计算利息，全面地掌握个集团的银行资金头寸情况，提高资金的使用效率，降低整个集团的财务费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45B">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617">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FAD7">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1AC5226">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1EB3C5">
        <w:trPr>
          <w:trHeight w:val="25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C4B">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6</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B593">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3203">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5B4">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内部信贷模块主要是提供给集团对下属企业做内部信贷放款之用，内部信贷通过内部户来实现内部放款。</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B9A">
            <w:pPr>
              <w:widowControl/>
              <w:kinsoku/>
              <w:wordWrap/>
              <w:overflowPunct/>
              <w:topLinePunct w:val="0"/>
              <w:autoSpaceDE/>
              <w:autoSpaceDN/>
              <w:bidi w:val="0"/>
              <w:adjustRightInd/>
              <w:snapToGrid/>
              <w:spacing w:line="56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A431">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DD5">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09C8FD4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023CCADD">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6441">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7</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5F61">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4B63">
            <w:pPr>
              <w:pStyle w:val="4"/>
              <w:kinsoku/>
              <w:wordWrap/>
              <w:overflowPunct/>
              <w:topLinePunct w:val="0"/>
              <w:autoSpaceDE/>
              <w:autoSpaceDN/>
              <w:bidi w:val="0"/>
              <w:adjustRightInd/>
              <w:snapToGrid/>
              <w:spacing w:line="560" w:lineRule="exac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银企直联</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073">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银企直联是指集团企业在集团内部建立自己的资金管理系统，通过数据接口将内部资金管理系统与商业银行核心系统、网银等实现联接。</w:t>
            </w:r>
            <w:r>
              <w:rPr>
                <w:rFonts w:hint="eastAsia" w:ascii="仿宋_GB2312" w:hAnsi="仿宋_GB2312" w:eastAsia="仿宋_GB2312" w:cs="仿宋_GB2312"/>
              </w:rPr>
              <w:br w:type="textWrapping"/>
            </w:r>
            <w:r>
              <w:rPr>
                <w:rFonts w:hint="eastAsia" w:ascii="仿宋_GB2312" w:hAnsi="仿宋_GB2312" w:eastAsia="仿宋_GB2312" w:cs="仿宋_GB2312"/>
              </w:rPr>
              <w:t>直联中心是业务模块与超级直联的纽带，直联中心将业务模块，例如结算、账户的指令转换为报文格式发送给超级直联，并在超级直联返回响应报文后，经过转换回调给业务方。直联中心支持指令查询，手工新增指令，配置数据同步规则等;通过银企直联企业可实现实时账户信息查询、明细查询、自动转账、交易查询等功能。并目交易的实时性和方便性会得到大幅提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F10">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50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0B9">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6B88388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1C1CE25A">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3F37">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8</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9BFC">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210D">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报表中心</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E80">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大数据时代早已来临，数字化驱动企业发展，而资金是企业生存和发展的命脉，有效的利用资金数据来进行决策分析是企业资金管理者的共同期望。</w:t>
            </w:r>
            <w:r>
              <w:rPr>
                <w:rFonts w:hint="eastAsia" w:ascii="仿宋_GB2312" w:hAnsi="仿宋_GB2312" w:eastAsia="仿宋_GB2312" w:cs="仿宋_GB2312"/>
              </w:rPr>
              <w:br w:type="textWrapping"/>
            </w:r>
            <w:r>
              <w:rPr>
                <w:rFonts w:hint="eastAsia" w:ascii="仿宋_GB2312" w:hAnsi="仿宋_GB2312" w:eastAsia="仿宋_GB2312" w:cs="仿宋_GB2312"/>
              </w:rPr>
              <w:t>报表中心采用表格、图表等格式来动态显示数据，视觉上更加直观，在向上级报告情况，通过数据来反应情况，辅助上级做决策分析等方面发挥了巨大的作用。</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9B6">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DC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A42">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DB39EAF">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7DA64AAD">
        <w:trPr>
          <w:trHeight w:val="76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57E">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9</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537">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7F9A">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rPr>
              <w:t>国资委</w:t>
            </w:r>
            <w:r>
              <w:rPr>
                <w:rFonts w:hint="eastAsia" w:ascii="仿宋_GB2312" w:hAnsi="仿宋_GB2312" w:eastAsia="仿宋_GB2312" w:cs="仿宋_GB2312"/>
                <w:lang w:val="en-US" w:eastAsia="zh-CN"/>
              </w:rPr>
              <w:t>数据</w:t>
            </w:r>
          </w:p>
          <w:p w14:paraId="08DD2B4B">
            <w:pPr>
              <w:pStyle w:val="4"/>
              <w:kinsoku/>
              <w:wordWrap/>
              <w:overflowPunct/>
              <w:topLinePunct w:val="0"/>
              <w:autoSpaceDE/>
              <w:autoSpaceDN/>
              <w:bidi w:val="0"/>
              <w:adjustRightInd/>
              <w:snapToGrid/>
              <w:spacing w:line="560" w:lineRule="exac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报送</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1F1">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根据不同地区，国资委对所辖企业有每日上报大额支付数据、每日上报支付汇总数据、或者每日汇报余额数据的监管要求。针对这一监营要求，开发“国资委”功能，以满足此类企业的资金上报需求、用户根据国资委支付教据上报、支付汇总数据上报、余额教据上报的默认要求(如:交易借贷方向、交易对手、交易金额)，生成上报数据并打包，并将打包好的数据最终上传至国资委部署在企业的前置机。数据上报之后，用户后续还可以做主动和自动数据补报。</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23C">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C234">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062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192171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654A3C94">
        <w:trPr>
          <w:trHeight w:val="153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26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10</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02F4">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7C84">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6D53">
            <w:pPr>
              <w:pStyle w:val="4"/>
              <w:kinsoku/>
              <w:wordWrap/>
              <w:overflowPunct/>
              <w:topLinePunct w:val="0"/>
              <w:autoSpaceDE/>
              <w:autoSpaceDN/>
              <w:bidi w:val="0"/>
              <w:adjustRightInd/>
              <w:snapToGrid/>
              <w:spacing w:line="560" w:lineRule="exact"/>
              <w:rPr>
                <w:rFonts w:hint="eastAsia" w:ascii="仿宋_GB2312" w:hAnsi="仿宋_GB2312" w:eastAsia="仿宋_GB2312" w:cs="仿宋_GB2312"/>
              </w:rPr>
            </w:pPr>
            <w:r>
              <w:rPr>
                <w:rFonts w:hint="eastAsia" w:ascii="仿宋_GB2312" w:hAnsi="仿宋_GB2312" w:eastAsia="仿宋_GB2312" w:cs="仿宋_GB2312"/>
              </w:rPr>
              <w:t>管理驾驶舱与其他多个模块(账户管理)紧密相连，对企业管理决产生重要影响，可为企业提供全视角的数据分析，从而辅助决策。</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A4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2D62">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06C">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1161" w:type="dxa"/>
            <w:vMerge w:val="continue"/>
            <w:tcBorders>
              <w:left w:val="single" w:color="000000" w:sz="4" w:space="0"/>
              <w:right w:val="single" w:color="000000" w:sz="4" w:space="0"/>
            </w:tcBorders>
            <w:shd w:val="clear" w:color="auto" w:fill="auto"/>
            <w:vAlign w:val="center"/>
          </w:tcPr>
          <w:p w14:paraId="34A5573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r>
      <w:tr w14:paraId="46F960DE">
        <w:trPr>
          <w:trHeight w:val="178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5736">
            <w:pPr>
              <w:widowControl/>
              <w:kinsoku/>
              <w:wordWrap/>
              <w:overflowPunct/>
              <w:topLinePunct w:val="0"/>
              <w:autoSpaceDE/>
              <w:autoSpaceDN/>
              <w:bidi w:val="0"/>
              <w:adjustRightInd/>
              <w:snapToGrid/>
              <w:spacing w:line="560" w:lineRule="exact"/>
              <w:ind w:firstLine="0" w:firstLineChars="0"/>
              <w:textAlignment w:val="center"/>
              <w:rPr>
                <w:rFonts w:hint="eastAsia" w:ascii="仿宋_GB2312" w:hAnsi="仿宋_GB2312"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11</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EBA">
            <w:pPr>
              <w:kinsoku/>
              <w:wordWrap/>
              <w:overflowPunct/>
              <w:topLinePunct w:val="0"/>
              <w:autoSpaceDE/>
              <w:autoSpaceDN/>
              <w:bidi w:val="0"/>
              <w:adjustRightInd/>
              <w:snapToGrid/>
              <w:spacing w:line="560" w:lineRule="exact"/>
              <w:ind w:firstLine="480"/>
              <w:jc w:val="center"/>
              <w:rPr>
                <w:rFonts w:hint="eastAsia" w:ascii="仿宋_GB2312" w:hAnsi="仿宋_GB2312" w:eastAsia="仿宋_GB2312" w:cs="仿宋_GB2312"/>
                <w:color w:val="000000"/>
                <w:sz w:val="24"/>
                <w:szCs w:val="24"/>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0CCB">
            <w:pPr>
              <w:widowControl/>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sz w:val="21"/>
                <w:szCs w:val="21"/>
              </w:rPr>
              <w:t>ERP对接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FC9">
            <w:pPr>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与</w:t>
            </w:r>
            <w:r>
              <w:rPr>
                <w:rFonts w:hint="eastAsia" w:ascii="仿宋_GB2312" w:hAnsi="仿宋_GB2312" w:eastAsia="仿宋_GB2312" w:cs="仿宋_GB2312"/>
                <w:color w:val="000000"/>
                <w:sz w:val="21"/>
                <w:szCs w:val="21"/>
                <w:lang w:val="en-US" w:eastAsia="zh-CN"/>
              </w:rPr>
              <w:t>用友BIP</w:t>
            </w:r>
            <w:r>
              <w:rPr>
                <w:rFonts w:hint="eastAsia" w:ascii="仿宋_GB2312" w:hAnsi="仿宋_GB2312" w:eastAsia="仿宋_GB2312" w:cs="仿宋_GB2312"/>
                <w:color w:val="000000"/>
                <w:sz w:val="21"/>
                <w:szCs w:val="21"/>
              </w:rPr>
              <w:t>系统对接，实现业财融合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18A8">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479">
            <w:pPr>
              <w:widowControl/>
              <w:kinsoku/>
              <w:wordWrap/>
              <w:overflowPunct/>
              <w:topLinePunct w:val="0"/>
              <w:autoSpaceDE/>
              <w:autoSpaceDN/>
              <w:bidi w:val="0"/>
              <w:adjustRightInd/>
              <w:snapToGrid/>
              <w:spacing w:line="560" w:lineRule="exact"/>
              <w:ind w:firstLine="199" w:firstLineChars="83"/>
              <w:textAlignment w:val="center"/>
              <w:rPr>
                <w:rFonts w:hint="eastAsia" w:ascii="仿宋_GB2312" w:hAnsi="仿宋_GB2312"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36E">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r>
              <w:rPr>
                <w:rFonts w:hint="eastAsia" w:ascii="Times New Roman" w:hAnsi="Times New Roman" w:eastAsia="仿宋_GB2312" w:cs="仿宋_GB2312"/>
                <w:color w:val="000000"/>
                <w:sz w:val="24"/>
                <w:szCs w:val="24"/>
              </w:rPr>
              <w:t>0</w:t>
            </w:r>
          </w:p>
        </w:tc>
        <w:tc>
          <w:tcPr>
            <w:tcW w:w="1161" w:type="dxa"/>
            <w:vMerge w:val="continue"/>
            <w:tcBorders>
              <w:left w:val="single" w:color="000000" w:sz="4" w:space="0"/>
              <w:bottom w:val="single" w:color="000000" w:sz="4" w:space="0"/>
              <w:right w:val="single" w:color="000000" w:sz="4" w:space="0"/>
            </w:tcBorders>
            <w:shd w:val="clear" w:color="auto" w:fill="auto"/>
            <w:vAlign w:val="center"/>
          </w:tcPr>
          <w:p w14:paraId="00750396">
            <w:pPr>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color w:val="000000"/>
                <w:sz w:val="24"/>
                <w:szCs w:val="24"/>
              </w:rPr>
            </w:pPr>
          </w:p>
        </w:tc>
      </w:tr>
      <w:tr w14:paraId="6D76DD70">
        <w:trPr>
          <w:trHeight w:val="270" w:hRule="atLeast"/>
        </w:trPr>
        <w:tc>
          <w:tcPr>
            <w:tcW w:w="7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C863A">
            <w:pPr>
              <w:widowControl/>
              <w:kinsoku/>
              <w:wordWrap/>
              <w:overflowPunct/>
              <w:topLinePunct w:val="0"/>
              <w:autoSpaceDE/>
              <w:autoSpaceDN/>
              <w:bidi w:val="0"/>
              <w:adjustRightInd/>
              <w:snapToGrid/>
              <w:spacing w:line="560" w:lineRule="exact"/>
              <w:ind w:firstLine="489"/>
              <w:jc w:val="righ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合计（万元）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31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Times New Roman" w:hAnsi="Times New Roman" w:eastAsia="仿宋_GB2312" w:cs="仿宋_GB2312"/>
                <w:b/>
                <w:bCs/>
                <w:color w:val="000000"/>
                <w:kern w:val="0"/>
                <w:sz w:val="24"/>
                <w:szCs w:val="24"/>
                <w:lang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F7C">
            <w:pPr>
              <w:widowControl/>
              <w:kinsoku/>
              <w:wordWrap/>
              <w:overflowPunct/>
              <w:topLinePunct w:val="0"/>
              <w:autoSpaceDE/>
              <w:autoSpaceDN/>
              <w:bidi w:val="0"/>
              <w:adjustRightInd/>
              <w:snapToGrid/>
              <w:spacing w:line="560" w:lineRule="exact"/>
              <w:ind w:firstLine="489"/>
              <w:jc w:val="center"/>
              <w:textAlignment w:val="center"/>
              <w:rPr>
                <w:rFonts w:hint="eastAsia" w:ascii="仿宋_GB2312" w:hAnsi="仿宋_GB2312" w:eastAsia="仿宋_GB2312" w:cs="仿宋_GB2312"/>
                <w:b/>
                <w:bCs/>
                <w:color w:val="000000"/>
                <w:sz w:val="24"/>
                <w:szCs w:val="24"/>
              </w:rPr>
            </w:pPr>
            <w:r>
              <w:rPr>
                <w:rFonts w:hint="eastAsia" w:ascii="Times New Roman" w:hAnsi="Times New Roman" w:eastAsia="仿宋_GB2312" w:cs="仿宋_GB2312"/>
                <w:b/>
                <w:bCs/>
                <w:color w:val="000000"/>
                <w:kern w:val="0"/>
                <w:sz w:val="24"/>
                <w:szCs w:val="24"/>
                <w:lang w:bidi="ar"/>
              </w:rPr>
              <w:t>10</w:t>
            </w:r>
          </w:p>
        </w:tc>
      </w:tr>
    </w:tbl>
    <w:p w14:paraId="65EC9B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b w:val="0"/>
          <w:bCs/>
          <w:sz w:val="32"/>
          <w:szCs w:val="32"/>
        </w:rPr>
      </w:pPr>
      <w:r>
        <w:rPr>
          <w:rFonts w:hint="eastAsia" w:ascii="仿宋" w:hAnsi="仿宋" w:eastAsia="仿宋"/>
          <w:b w:val="0"/>
          <w:bCs/>
          <w:sz w:val="32"/>
          <w:szCs w:val="32"/>
        </w:rPr>
        <w:t>报价需为含税包干价，不做任何追加。</w:t>
      </w:r>
    </w:p>
    <w:p w14:paraId="10F332C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五</w:t>
      </w:r>
      <w:r>
        <w:rPr>
          <w:rFonts w:hint="eastAsia" w:ascii="仿宋" w:hAnsi="仿宋" w:eastAsia="仿宋"/>
          <w:b/>
          <w:sz w:val="32"/>
          <w:szCs w:val="32"/>
        </w:rPr>
        <w:t>）供应商资格</w:t>
      </w:r>
    </w:p>
    <w:p w14:paraId="4337D358">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val="0"/>
          <w:bCs/>
          <w:sz w:val="32"/>
          <w:szCs w:val="32"/>
        </w:rPr>
      </w:pPr>
      <w:r>
        <w:rPr>
          <w:rFonts w:hint="eastAsia" w:ascii="仿宋" w:hAnsi="仿宋" w:eastAsia="仿宋"/>
          <w:b w:val="0"/>
          <w:bCs/>
          <w:sz w:val="32"/>
          <w:szCs w:val="32"/>
        </w:rPr>
        <w:t>参加</w:t>
      </w:r>
      <w:r>
        <w:rPr>
          <w:rFonts w:hint="eastAsia" w:ascii="仿宋" w:hAnsi="仿宋" w:eastAsia="仿宋"/>
          <w:b w:val="0"/>
          <w:bCs/>
          <w:sz w:val="32"/>
          <w:szCs w:val="32"/>
          <w:lang w:eastAsia="zh-CN"/>
        </w:rPr>
        <w:t>竞争性磋商</w:t>
      </w:r>
      <w:r>
        <w:rPr>
          <w:rFonts w:hint="eastAsia" w:ascii="仿宋" w:hAnsi="仿宋" w:eastAsia="仿宋"/>
          <w:b w:val="0"/>
          <w:bCs/>
          <w:sz w:val="32"/>
          <w:szCs w:val="32"/>
        </w:rPr>
        <w:t>的响应人，应具备以下资格：</w:t>
      </w:r>
    </w:p>
    <w:p w14:paraId="41C815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1.提供法人或者其他组织的营业执照等证明文件；</w:t>
      </w:r>
    </w:p>
    <w:p w14:paraId="33EF008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2.具有良好的商业信誉和健全的内部财务会计制度；</w:t>
      </w:r>
    </w:p>
    <w:p w14:paraId="72F37B6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3.具有履行合同所必须的专业能力；</w:t>
      </w:r>
    </w:p>
    <w:p w14:paraId="01D2FCA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4.具有依法缴纳税收和社会保障资金的良好记录；</w:t>
      </w:r>
    </w:p>
    <w:p w14:paraId="05EC803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5参加本次采购活动前3年内在经营活动中没有重大违法记录；</w:t>
      </w:r>
    </w:p>
    <w:p w14:paraId="310694C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6本项目不接受联合体投标；</w:t>
      </w:r>
    </w:p>
    <w:p w14:paraId="64856C8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7.本项目不允许分包、转包；</w:t>
      </w:r>
    </w:p>
    <w:p w14:paraId="4E2BED8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六</w:t>
      </w:r>
      <w:r>
        <w:rPr>
          <w:rFonts w:hint="eastAsia" w:ascii="仿宋" w:hAnsi="仿宋" w:eastAsia="仿宋"/>
          <w:b/>
          <w:sz w:val="32"/>
          <w:szCs w:val="32"/>
        </w:rPr>
        <w:t>）</w:t>
      </w:r>
      <w:r>
        <w:rPr>
          <w:rFonts w:hint="eastAsia" w:ascii="仿宋" w:hAnsi="仿宋" w:eastAsia="仿宋"/>
          <w:b/>
          <w:sz w:val="32"/>
          <w:szCs w:val="32"/>
          <w:lang w:val="en-US" w:eastAsia="zh-CN"/>
        </w:rPr>
        <w:t>项目</w:t>
      </w:r>
      <w:r>
        <w:rPr>
          <w:rFonts w:hint="eastAsia" w:ascii="仿宋" w:hAnsi="仿宋" w:eastAsia="仿宋"/>
          <w:b/>
          <w:sz w:val="32"/>
          <w:szCs w:val="32"/>
        </w:rPr>
        <w:t>完成时限</w:t>
      </w:r>
    </w:p>
    <w:p w14:paraId="77D0148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仿宋" w:hAnsi="仿宋"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2026</w:t>
      </w:r>
      <w:r>
        <w:rPr>
          <w:rFonts w:hint="eastAsia" w:ascii="仿宋" w:hAnsi="仿宋" w:eastAsia="仿宋" w:cs="Times New Roman"/>
          <w:b w:val="0"/>
          <w:bCs/>
          <w:sz w:val="32"/>
          <w:szCs w:val="32"/>
          <w:lang w:val="en-US" w:eastAsia="zh-CN"/>
        </w:rPr>
        <w:t>年</w:t>
      </w:r>
      <w:r>
        <w:rPr>
          <w:rFonts w:hint="default" w:ascii="Times New Roman" w:hAnsi="Times New Roman" w:eastAsia="仿宋" w:cs="Times New Roman"/>
          <w:b w:val="0"/>
          <w:bCs/>
          <w:sz w:val="32"/>
          <w:szCs w:val="32"/>
          <w:lang w:val="en-US" w:eastAsia="zh-CN"/>
        </w:rPr>
        <w:t>5</w:t>
      </w:r>
      <w:r>
        <w:rPr>
          <w:rFonts w:hint="eastAsia" w:ascii="仿宋" w:hAnsi="仿宋" w:eastAsia="仿宋" w:cs="Times New Roman"/>
          <w:b w:val="0"/>
          <w:bCs/>
          <w:sz w:val="32"/>
          <w:szCs w:val="32"/>
          <w:lang w:val="en-US" w:eastAsia="zh-CN"/>
        </w:rPr>
        <w:t>月</w:t>
      </w:r>
      <w:r>
        <w:rPr>
          <w:rFonts w:hint="default" w:ascii="Times New Roman" w:hAnsi="Times New Roman" w:eastAsia="仿宋" w:cs="Times New Roman"/>
          <w:b w:val="0"/>
          <w:bCs/>
          <w:sz w:val="32"/>
          <w:szCs w:val="32"/>
          <w:lang w:val="en-US" w:eastAsia="zh-CN"/>
        </w:rPr>
        <w:t>31</w:t>
      </w:r>
      <w:r>
        <w:rPr>
          <w:rFonts w:hint="eastAsia" w:ascii="仿宋" w:hAnsi="仿宋" w:eastAsia="仿宋" w:cs="Times New Roman"/>
          <w:b w:val="0"/>
          <w:bCs/>
          <w:sz w:val="32"/>
          <w:szCs w:val="32"/>
          <w:lang w:val="en-US" w:eastAsia="zh-CN"/>
        </w:rPr>
        <w:t>日前完成系统建设达到市国资委验收标准。</w:t>
      </w:r>
    </w:p>
    <w:p w14:paraId="22D713B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w:t>
      </w:r>
      <w:r>
        <w:rPr>
          <w:rFonts w:hint="eastAsia" w:ascii="仿宋" w:hAnsi="仿宋" w:eastAsia="仿宋"/>
          <w:b/>
          <w:sz w:val="32"/>
          <w:szCs w:val="32"/>
          <w:lang w:eastAsia="zh-CN"/>
        </w:rPr>
        <w:t>竞争性磋商</w:t>
      </w:r>
      <w:r>
        <w:rPr>
          <w:rFonts w:hint="eastAsia" w:ascii="仿宋" w:hAnsi="仿宋" w:eastAsia="仿宋"/>
          <w:b/>
          <w:sz w:val="32"/>
          <w:szCs w:val="32"/>
        </w:rPr>
        <w:t>文件的获取</w:t>
      </w:r>
    </w:p>
    <w:p w14:paraId="5D17675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本项目的竞争性磋商文件由贵阳市农业农垦投资发展集团有限公司官网获取，各受邀单位在收到相关文件后，需在</w:t>
      </w:r>
      <w:r>
        <w:rPr>
          <w:rFonts w:hint="eastAsia" w:ascii="Times New Roman" w:hAnsi="Times New Roman" w:eastAsia="仿宋"/>
          <w:sz w:val="32"/>
          <w:szCs w:val="32"/>
          <w:u w:val="single"/>
        </w:rPr>
        <w:t>2025</w:t>
      </w:r>
      <w:r>
        <w:rPr>
          <w:rFonts w:hint="eastAsia" w:ascii="仿宋" w:hAnsi="仿宋" w:eastAsia="仿宋"/>
          <w:sz w:val="32"/>
          <w:szCs w:val="32"/>
        </w:rPr>
        <w:t>年</w:t>
      </w:r>
      <w:r>
        <w:rPr>
          <w:rFonts w:hint="eastAsia" w:ascii="Times New Roman" w:hAnsi="Times New Roman" w:eastAsia="仿宋"/>
          <w:sz w:val="32"/>
          <w:szCs w:val="32"/>
          <w:u w:val="single"/>
        </w:rPr>
        <w:t>12</w:t>
      </w:r>
      <w:r>
        <w:rPr>
          <w:rFonts w:hint="eastAsia" w:ascii="仿宋" w:hAnsi="仿宋" w:eastAsia="仿宋"/>
          <w:sz w:val="32"/>
          <w:szCs w:val="32"/>
        </w:rPr>
        <w:t>月</w:t>
      </w:r>
      <w:r>
        <w:rPr>
          <w:rFonts w:hint="eastAsia" w:ascii="Times New Roman" w:hAnsi="Times New Roman" w:eastAsia="仿宋"/>
          <w:sz w:val="32"/>
          <w:szCs w:val="32"/>
          <w:u w:val="single"/>
        </w:rPr>
        <w:t>3</w:t>
      </w:r>
      <w:r>
        <w:rPr>
          <w:rFonts w:hint="eastAsia" w:ascii="仿宋" w:hAnsi="仿宋" w:eastAsia="仿宋"/>
          <w:sz w:val="32"/>
          <w:szCs w:val="32"/>
        </w:rPr>
        <w:t>日</w:t>
      </w:r>
      <w:r>
        <w:rPr>
          <w:rFonts w:hint="eastAsia" w:ascii="Times New Roman" w:hAnsi="Times New Roman" w:eastAsia="仿宋"/>
          <w:sz w:val="32"/>
          <w:szCs w:val="32"/>
          <w:u w:val="single"/>
        </w:rPr>
        <w:t>1</w:t>
      </w:r>
      <w:r>
        <w:rPr>
          <w:rFonts w:hint="eastAsia" w:ascii="Times New Roman" w:hAnsi="Times New Roman" w:eastAsia="仿宋"/>
          <w:sz w:val="32"/>
          <w:szCs w:val="32"/>
          <w:u w:val="single"/>
          <w:lang w:val="en-US" w:eastAsia="zh-CN"/>
        </w:rPr>
        <w:t>4</w:t>
      </w:r>
      <w:r>
        <w:rPr>
          <w:rFonts w:hint="eastAsia" w:ascii="仿宋" w:hAnsi="仿宋" w:eastAsia="仿宋"/>
          <w:sz w:val="32"/>
          <w:szCs w:val="32"/>
          <w:u w:val="single"/>
        </w:rPr>
        <w:t>:</w:t>
      </w:r>
      <w:r>
        <w:rPr>
          <w:rFonts w:hint="eastAsia" w:ascii="Times New Roman" w:hAnsi="Times New Roman" w:eastAsia="仿宋"/>
          <w:sz w:val="32"/>
          <w:szCs w:val="32"/>
          <w:u w:val="single"/>
        </w:rPr>
        <w:t>00</w:t>
      </w:r>
      <w:r>
        <w:rPr>
          <w:rFonts w:hint="eastAsia" w:ascii="仿宋" w:hAnsi="仿宋" w:eastAsia="仿宋"/>
          <w:sz w:val="32"/>
          <w:szCs w:val="32"/>
        </w:rPr>
        <w:t>前及时反馈是否参与磋商，并将加盖公章的《参与磋商确认函》（见附件，不纳入响应文件内）扫描件反馈至电子邮箱ntcw@gyntjt.com，未通过邮件进行反馈的，采购人有权拒收响应文件，并于递交响应文件时补签竞争性磋商采购文件领取记录表。</w:t>
      </w:r>
    </w:p>
    <w:p w14:paraId="68EBA68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、响应文件的报送</w:t>
      </w:r>
    </w:p>
    <w:p w14:paraId="08AF1A8E">
      <w:pPr>
        <w:snapToGrid w:val="0"/>
        <w:spacing w:line="520" w:lineRule="exact"/>
        <w:ind w:firstLine="601"/>
        <w:jc w:val="left"/>
        <w:rPr>
          <w:rFonts w:hint="eastAsia" w:ascii="仿宋" w:hAnsi="仿宋" w:eastAsia="仿宋"/>
          <w:sz w:val="32"/>
          <w:szCs w:val="32"/>
        </w:rPr>
      </w:pPr>
      <w:r>
        <w:rPr>
          <w:rFonts w:hint="eastAsia" w:ascii="仿宋" w:hAnsi="仿宋" w:eastAsia="仿宋"/>
          <w:sz w:val="32"/>
          <w:szCs w:val="32"/>
        </w:rPr>
        <w:t>报送地点：贵阳市农业农垦投资发展集团有限公司</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财务部</w:t>
      </w:r>
      <w:r>
        <w:rPr>
          <w:rFonts w:hint="eastAsia" w:ascii="仿宋" w:hAnsi="仿宋" w:eastAsia="仿宋"/>
          <w:sz w:val="28"/>
          <w:szCs w:val="28"/>
          <w:highlight w:val="none"/>
        </w:rPr>
        <w:t>）</w:t>
      </w:r>
    </w:p>
    <w:p w14:paraId="6155D37E">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响应文件递交时间：</w:t>
      </w:r>
      <w:r>
        <w:rPr>
          <w:rFonts w:hint="eastAsia" w:ascii="Times New Roman" w:hAnsi="Times New Roman" w:eastAsia="仿宋"/>
          <w:sz w:val="32"/>
          <w:szCs w:val="32"/>
          <w:u w:val="single"/>
        </w:rPr>
        <w:t>2025</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Times New Roman" w:hAnsi="Times New Roman" w:eastAsia="仿宋"/>
          <w:sz w:val="32"/>
          <w:szCs w:val="32"/>
          <w:u w:val="single"/>
        </w:rPr>
        <w:t>12</w:t>
      </w:r>
      <w:r>
        <w:rPr>
          <w:rFonts w:hint="eastAsia" w:ascii="仿宋" w:hAnsi="仿宋" w:eastAsia="仿宋"/>
          <w:sz w:val="32"/>
          <w:szCs w:val="32"/>
        </w:rPr>
        <w:t>月</w:t>
      </w:r>
      <w:r>
        <w:rPr>
          <w:rFonts w:hint="eastAsia" w:ascii="Times New Roman" w:hAnsi="Times New Roman" w:eastAsia="仿宋"/>
          <w:sz w:val="32"/>
          <w:szCs w:val="32"/>
          <w:u w:val="single"/>
        </w:rPr>
        <w:t>4</w:t>
      </w:r>
      <w:r>
        <w:rPr>
          <w:rFonts w:hint="eastAsia" w:ascii="仿宋" w:hAnsi="仿宋" w:eastAsia="仿宋"/>
          <w:sz w:val="32"/>
          <w:szCs w:val="32"/>
        </w:rPr>
        <w:t xml:space="preserve">日 </w:t>
      </w:r>
      <w:r>
        <w:rPr>
          <w:rFonts w:hint="eastAsia" w:ascii="Times New Roman" w:hAnsi="Times New Roman" w:eastAsia="仿宋"/>
          <w:sz w:val="32"/>
          <w:szCs w:val="32"/>
          <w:u w:val="single"/>
        </w:rPr>
        <w:t>14</w:t>
      </w:r>
      <w:r>
        <w:rPr>
          <w:rFonts w:hint="eastAsia" w:ascii="仿宋" w:hAnsi="仿宋" w:eastAsia="仿宋"/>
          <w:sz w:val="32"/>
          <w:szCs w:val="32"/>
          <w:u w:val="single"/>
        </w:rPr>
        <w:t>:</w:t>
      </w:r>
      <w:r>
        <w:rPr>
          <w:rFonts w:hint="eastAsia" w:ascii="Times New Roman" w:hAnsi="Times New Roman" w:eastAsia="仿宋"/>
          <w:sz w:val="32"/>
          <w:szCs w:val="32"/>
          <w:u w:val="single"/>
        </w:rPr>
        <w:t>00</w:t>
      </w:r>
      <w:r>
        <w:rPr>
          <w:rFonts w:hint="eastAsia" w:ascii="仿宋" w:hAnsi="仿宋" w:eastAsia="仿宋"/>
          <w:sz w:val="32"/>
          <w:szCs w:val="32"/>
          <w:u w:val="single"/>
        </w:rPr>
        <w:t xml:space="preserve"> </w:t>
      </w:r>
      <w:r>
        <w:rPr>
          <w:rFonts w:hint="eastAsia" w:ascii="仿宋" w:hAnsi="仿宋" w:eastAsia="仿宋"/>
          <w:sz w:val="32"/>
          <w:szCs w:val="32"/>
        </w:rPr>
        <w:t xml:space="preserve"> 之前（在规定时间内未递交响应文件的视为放弃本次竞争性磋商）。</w:t>
      </w:r>
    </w:p>
    <w:p w14:paraId="71D3D64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仿宋" w:hAnsi="仿宋" w:eastAsia="仿宋"/>
          <w:sz w:val="32"/>
          <w:szCs w:val="32"/>
        </w:rPr>
      </w:pPr>
      <w:r>
        <w:rPr>
          <w:rFonts w:hint="eastAsia" w:ascii="仿宋" w:hAnsi="仿宋" w:eastAsia="仿宋"/>
          <w:sz w:val="32"/>
          <w:szCs w:val="32"/>
        </w:rPr>
        <w:t>磋商日期：</w:t>
      </w:r>
      <w:r>
        <w:rPr>
          <w:rFonts w:hint="eastAsia" w:ascii="Times New Roman" w:hAnsi="Times New Roman" w:eastAsia="仿宋"/>
          <w:sz w:val="32"/>
          <w:szCs w:val="32"/>
          <w:u w:val="single"/>
        </w:rPr>
        <w:t>2025</w:t>
      </w:r>
      <w:r>
        <w:rPr>
          <w:rFonts w:hint="eastAsia" w:ascii="仿宋" w:hAnsi="仿宋" w:eastAsia="仿宋"/>
          <w:sz w:val="32"/>
          <w:szCs w:val="32"/>
        </w:rPr>
        <w:t xml:space="preserve">年 </w:t>
      </w:r>
      <w:r>
        <w:rPr>
          <w:rFonts w:hint="eastAsia" w:ascii="Times New Roman" w:hAnsi="Times New Roman" w:eastAsia="仿宋"/>
          <w:sz w:val="32"/>
          <w:szCs w:val="32"/>
          <w:u w:val="single"/>
        </w:rPr>
        <w:t>12</w:t>
      </w:r>
      <w:r>
        <w:rPr>
          <w:rFonts w:hint="eastAsia" w:ascii="仿宋" w:hAnsi="仿宋" w:eastAsia="仿宋"/>
          <w:sz w:val="32"/>
          <w:szCs w:val="32"/>
        </w:rPr>
        <w:t>月</w:t>
      </w:r>
      <w:r>
        <w:rPr>
          <w:rFonts w:hint="eastAsia" w:ascii="Times New Roman" w:hAnsi="Times New Roman" w:eastAsia="仿宋"/>
          <w:sz w:val="32"/>
          <w:szCs w:val="32"/>
          <w:u w:val="single"/>
        </w:rPr>
        <w:t>4</w:t>
      </w:r>
      <w:r>
        <w:rPr>
          <w:rFonts w:hint="eastAsia" w:ascii="仿宋" w:hAnsi="仿宋" w:eastAsia="仿宋"/>
          <w:sz w:val="32"/>
          <w:szCs w:val="32"/>
          <w:u w:val="single"/>
        </w:rPr>
        <w:t xml:space="preserve"> </w:t>
      </w:r>
      <w:r>
        <w:rPr>
          <w:rFonts w:hint="eastAsia" w:ascii="仿宋" w:hAnsi="仿宋" w:eastAsia="仿宋"/>
          <w:sz w:val="32"/>
          <w:szCs w:val="32"/>
        </w:rPr>
        <w:t xml:space="preserve">日 </w:t>
      </w:r>
      <w:r>
        <w:rPr>
          <w:rFonts w:hint="eastAsia" w:ascii="Times New Roman" w:hAnsi="Times New Roman" w:eastAsia="仿宋"/>
          <w:sz w:val="32"/>
          <w:szCs w:val="32"/>
          <w:u w:val="single"/>
        </w:rPr>
        <w:t>14</w:t>
      </w:r>
      <w:r>
        <w:rPr>
          <w:rFonts w:hint="eastAsia" w:ascii="仿宋" w:hAnsi="仿宋" w:eastAsia="仿宋"/>
          <w:sz w:val="32"/>
          <w:szCs w:val="32"/>
          <w:u w:val="single"/>
        </w:rPr>
        <w:t>:</w:t>
      </w:r>
      <w:r>
        <w:rPr>
          <w:rFonts w:hint="eastAsia" w:ascii="Times New Roman" w:hAnsi="Times New Roman" w:eastAsia="仿宋"/>
          <w:sz w:val="32"/>
          <w:szCs w:val="32"/>
          <w:u w:val="single"/>
        </w:rPr>
        <w:t>30</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33ADB6C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、联系方式</w:t>
      </w:r>
    </w:p>
    <w:p w14:paraId="1D0D3F43">
      <w:pPr>
        <w:snapToGrid w:val="0"/>
        <w:spacing w:line="520" w:lineRule="exact"/>
        <w:ind w:firstLine="601"/>
        <w:jc w:val="left"/>
        <w:rPr>
          <w:rFonts w:hint="eastAsia" w:ascii="仿宋" w:hAnsi="仿宋" w:eastAsia="仿宋"/>
          <w:sz w:val="32"/>
          <w:szCs w:val="32"/>
        </w:rPr>
      </w:pPr>
      <w:r>
        <w:rPr>
          <w:rFonts w:hint="eastAsia" w:ascii="仿宋" w:hAnsi="仿宋" w:eastAsia="仿宋"/>
          <w:sz w:val="32"/>
          <w:szCs w:val="32"/>
        </w:rPr>
        <w:t>采购人：</w:t>
      </w:r>
      <w:r>
        <w:rPr>
          <w:rFonts w:hint="eastAsia" w:ascii="仿宋" w:hAnsi="仿宋" w:eastAsia="仿宋"/>
          <w:sz w:val="32"/>
          <w:szCs w:val="32"/>
          <w:lang w:eastAsia="zh-CN"/>
        </w:rPr>
        <w:t>贵阳市农业农垦投资发展集团有限公司</w:t>
      </w:r>
    </w:p>
    <w:p w14:paraId="7AE709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ascii="仿宋" w:hAnsi="仿宋" w:eastAsia="仿宋"/>
          <w:sz w:val="32"/>
          <w:szCs w:val="32"/>
        </w:rPr>
      </w:pPr>
      <w:r>
        <w:rPr>
          <w:rFonts w:hint="eastAsia" w:ascii="仿宋" w:hAnsi="仿宋" w:eastAsia="仿宋"/>
          <w:sz w:val="32"/>
          <w:szCs w:val="32"/>
        </w:rPr>
        <w:t>地</w:t>
      </w:r>
      <w:r>
        <w:rPr>
          <w:rFonts w:hint="eastAsia" w:ascii="仿宋" w:hAnsi="仿宋" w:eastAsia="仿宋"/>
          <w:sz w:val="32"/>
          <w:szCs w:val="32"/>
          <w:lang w:val="en-US" w:eastAsia="zh-CN"/>
        </w:rPr>
        <w:t xml:space="preserve">  </w:t>
      </w:r>
      <w:r>
        <w:rPr>
          <w:rFonts w:hint="eastAsia" w:ascii="仿宋" w:hAnsi="仿宋" w:eastAsia="仿宋"/>
          <w:sz w:val="32"/>
          <w:szCs w:val="32"/>
        </w:rPr>
        <w:t>址：</w:t>
      </w:r>
      <w:r>
        <w:rPr>
          <w:rFonts w:ascii="仿宋" w:hAnsi="仿宋" w:eastAsia="仿宋"/>
          <w:sz w:val="32"/>
          <w:szCs w:val="32"/>
        </w:rPr>
        <w:t>观山湖区长岭北路与金朱东路交界处贵州金融城</w:t>
      </w:r>
      <w:r>
        <w:rPr>
          <w:rFonts w:hint="eastAsia" w:ascii="仿宋" w:hAnsi="仿宋" w:eastAsia="仿宋"/>
          <w:sz w:val="32"/>
          <w:szCs w:val="32"/>
          <w:lang w:val="en-US" w:eastAsia="zh-CN"/>
        </w:rPr>
        <w:tab/>
      </w:r>
      <w:r>
        <w:rPr>
          <w:rFonts w:hint="eastAsia" w:ascii="仿宋" w:hAnsi="仿宋" w:eastAsia="仿宋"/>
          <w:sz w:val="32"/>
          <w:szCs w:val="32"/>
          <w:lang w:val="en-US" w:eastAsia="zh-CN"/>
        </w:rPr>
        <w:t xml:space="preserve">         </w:t>
      </w:r>
      <w:r>
        <w:rPr>
          <w:rFonts w:ascii="仿宋" w:hAnsi="仿宋" w:eastAsia="仿宋"/>
          <w:sz w:val="32"/>
          <w:szCs w:val="32"/>
        </w:rPr>
        <w:t>金融ONE</w:t>
      </w:r>
      <w:r>
        <w:rPr>
          <w:rFonts w:hint="eastAsia" w:ascii="Times New Roman" w:hAnsi="Times New Roman" w:eastAsia="仿宋" w:cs="Times New Roman"/>
          <w:sz w:val="32"/>
          <w:szCs w:val="32"/>
          <w:lang w:val="en-US" w:eastAsia="zh-CN"/>
        </w:rPr>
        <w:t>12</w:t>
      </w:r>
      <w:r>
        <w:rPr>
          <w:rFonts w:hint="eastAsia" w:ascii="仿宋" w:hAnsi="仿宋" w:eastAsia="仿宋"/>
          <w:sz w:val="32"/>
          <w:szCs w:val="32"/>
        </w:rPr>
        <w:t>楼</w:t>
      </w:r>
    </w:p>
    <w:p w14:paraId="333DA51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eastAsia" w:ascii="Times New Roman" w:hAnsi="Times New Roman" w:eastAsia="仿宋" w:cs="Times New Roman"/>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 xml:space="preserve">杨兰                </w:t>
      </w:r>
      <w:r>
        <w:rPr>
          <w:rFonts w:hint="eastAsia" w:ascii="仿宋" w:hAnsi="仿宋" w:eastAsia="仿宋"/>
          <w:sz w:val="32"/>
          <w:szCs w:val="32"/>
        </w:rPr>
        <w:t>联系电话：</w:t>
      </w:r>
      <w:r>
        <w:rPr>
          <w:rFonts w:hint="eastAsia" w:ascii="Times New Roman" w:hAnsi="Times New Roman" w:eastAsia="仿宋" w:cs="Times New Roman"/>
          <w:sz w:val="32"/>
          <w:szCs w:val="32"/>
          <w:lang w:val="en-US" w:eastAsia="zh-CN"/>
        </w:rPr>
        <w:t>15692705731</w:t>
      </w:r>
    </w:p>
    <w:p w14:paraId="692AEEA6">
      <w:pPr>
        <w:rPr>
          <w:rFonts w:hint="default" w:ascii="Times New Roman" w:hAnsi="Times New Roman" w:eastAsia="仿宋" w:cs="Times New Roman"/>
          <w:sz w:val="32"/>
          <w:szCs w:val="32"/>
          <w:lang w:val="en-US" w:eastAsia="zh-CN"/>
        </w:rPr>
      </w:pPr>
    </w:p>
    <w:p w14:paraId="61574788">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贵阳市农业投资发展集团有限公司</w:t>
      </w:r>
    </w:p>
    <w:p w14:paraId="081E374F">
      <w:pPr>
        <w:pStyle w:val="4"/>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pPr>
      <w:r>
        <w:rPr>
          <w:rFonts w:hint="eastAsia" w:ascii="仿宋" w:hAnsi="仿宋" w:eastAsia="仿宋"/>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2025</w:t>
      </w:r>
      <w:r>
        <w:rPr>
          <w:rFonts w:hint="eastAsia" w:ascii="仿宋" w:hAnsi="仿宋" w:eastAsia="仿宋"/>
          <w:sz w:val="32"/>
          <w:szCs w:val="32"/>
          <w:lang w:val="en-US" w:eastAsia="zh-CN"/>
        </w:rPr>
        <w:t>年</w:t>
      </w:r>
      <w:r>
        <w:rPr>
          <w:rFonts w:hint="eastAsia" w:ascii="Times New Roman" w:hAnsi="Times New Roman" w:eastAsia="仿宋" w:cs="Times New Roman"/>
          <w:sz w:val="32"/>
          <w:szCs w:val="32"/>
          <w:lang w:val="en-US" w:eastAsia="zh-CN"/>
        </w:rPr>
        <w:t>11</w:t>
      </w:r>
      <w:r>
        <w:rPr>
          <w:rFonts w:hint="eastAsia" w:ascii="仿宋" w:hAnsi="仿宋" w:eastAsia="仿宋"/>
          <w:sz w:val="32"/>
          <w:szCs w:val="32"/>
          <w:lang w:val="en-US" w:eastAsia="zh-CN"/>
        </w:rPr>
        <w:t>月</w:t>
      </w:r>
      <w:r>
        <w:rPr>
          <w:rFonts w:hint="eastAsia" w:ascii="Times New Roman" w:hAnsi="Times New Roman" w:eastAsia="仿宋" w:cs="Times New Roman"/>
          <w:sz w:val="32"/>
          <w:szCs w:val="32"/>
          <w:lang w:val="en-US" w:eastAsia="zh-CN"/>
        </w:rPr>
        <w:t>25</w:t>
      </w:r>
      <w:r>
        <w:rPr>
          <w:rFonts w:hint="eastAsia" w:ascii="仿宋" w:hAnsi="仿宋" w:eastAsia="仿宋"/>
          <w:sz w:val="32"/>
          <w:szCs w:val="32"/>
          <w:lang w:val="en-US" w:eastAsia="zh-CN"/>
        </w:rPr>
        <w:t>日</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TYwYjJjYjhiMzc4NDc3YjBlNzQ1ZjNlYThmZTUifQ=="/>
  </w:docVars>
  <w:rsids>
    <w:rsidRoot w:val="00172A27"/>
    <w:rsid w:val="002C6EC5"/>
    <w:rsid w:val="00441793"/>
    <w:rsid w:val="0089189B"/>
    <w:rsid w:val="009607E8"/>
    <w:rsid w:val="017165B7"/>
    <w:rsid w:val="01EB45BC"/>
    <w:rsid w:val="03165668"/>
    <w:rsid w:val="035F4ABA"/>
    <w:rsid w:val="03991DF6"/>
    <w:rsid w:val="03B629A7"/>
    <w:rsid w:val="03C70711"/>
    <w:rsid w:val="03F90AE6"/>
    <w:rsid w:val="051E25B2"/>
    <w:rsid w:val="06EE06AA"/>
    <w:rsid w:val="06FA704F"/>
    <w:rsid w:val="070E6657"/>
    <w:rsid w:val="07AA637F"/>
    <w:rsid w:val="07B74F40"/>
    <w:rsid w:val="08215655"/>
    <w:rsid w:val="08D15B8E"/>
    <w:rsid w:val="09442803"/>
    <w:rsid w:val="0A3B59B5"/>
    <w:rsid w:val="0B512FB6"/>
    <w:rsid w:val="0C234952"/>
    <w:rsid w:val="0C523489"/>
    <w:rsid w:val="0C607954"/>
    <w:rsid w:val="0C8353F1"/>
    <w:rsid w:val="0CCF4ADA"/>
    <w:rsid w:val="0D004C93"/>
    <w:rsid w:val="0D584ACF"/>
    <w:rsid w:val="0F096081"/>
    <w:rsid w:val="0FED59A3"/>
    <w:rsid w:val="1030763E"/>
    <w:rsid w:val="11551A52"/>
    <w:rsid w:val="11553800"/>
    <w:rsid w:val="11D5049D"/>
    <w:rsid w:val="11DA69B0"/>
    <w:rsid w:val="127C4DBC"/>
    <w:rsid w:val="12993BC0"/>
    <w:rsid w:val="13CE7899"/>
    <w:rsid w:val="14A14FAE"/>
    <w:rsid w:val="152A4FA3"/>
    <w:rsid w:val="15826B8D"/>
    <w:rsid w:val="16493207"/>
    <w:rsid w:val="16DC22CD"/>
    <w:rsid w:val="18AB1F57"/>
    <w:rsid w:val="18E975B9"/>
    <w:rsid w:val="19530656"/>
    <w:rsid w:val="19D83220"/>
    <w:rsid w:val="1A400DC5"/>
    <w:rsid w:val="1A55661F"/>
    <w:rsid w:val="1A8C5DB8"/>
    <w:rsid w:val="1B4A1EFB"/>
    <w:rsid w:val="1C136791"/>
    <w:rsid w:val="1CBA4E5F"/>
    <w:rsid w:val="1E262080"/>
    <w:rsid w:val="1EEFF09E"/>
    <w:rsid w:val="1F0E3240"/>
    <w:rsid w:val="1F1E23C9"/>
    <w:rsid w:val="213B4094"/>
    <w:rsid w:val="2144119B"/>
    <w:rsid w:val="21C83B7A"/>
    <w:rsid w:val="21DF0EC4"/>
    <w:rsid w:val="23394C28"/>
    <w:rsid w:val="240D1D18"/>
    <w:rsid w:val="24343749"/>
    <w:rsid w:val="246A716A"/>
    <w:rsid w:val="25101963"/>
    <w:rsid w:val="2569313D"/>
    <w:rsid w:val="25A62424"/>
    <w:rsid w:val="27787DF0"/>
    <w:rsid w:val="27B16E5E"/>
    <w:rsid w:val="28AC5FA3"/>
    <w:rsid w:val="297D16EE"/>
    <w:rsid w:val="29C63095"/>
    <w:rsid w:val="29D55086"/>
    <w:rsid w:val="2A102562"/>
    <w:rsid w:val="2A900FAD"/>
    <w:rsid w:val="2C471B3F"/>
    <w:rsid w:val="2C792640"/>
    <w:rsid w:val="2D2F71A3"/>
    <w:rsid w:val="2D483DC1"/>
    <w:rsid w:val="2DEC71B2"/>
    <w:rsid w:val="2E426A62"/>
    <w:rsid w:val="2E4C168F"/>
    <w:rsid w:val="2EDE49DD"/>
    <w:rsid w:val="302C2A84"/>
    <w:rsid w:val="31D40319"/>
    <w:rsid w:val="321E77E6"/>
    <w:rsid w:val="3240775C"/>
    <w:rsid w:val="32E91BA2"/>
    <w:rsid w:val="33092244"/>
    <w:rsid w:val="33296443"/>
    <w:rsid w:val="33AB50A9"/>
    <w:rsid w:val="35301D0A"/>
    <w:rsid w:val="355F614C"/>
    <w:rsid w:val="36392E40"/>
    <w:rsid w:val="36873BAC"/>
    <w:rsid w:val="36CF7301"/>
    <w:rsid w:val="37046FAB"/>
    <w:rsid w:val="376161AB"/>
    <w:rsid w:val="383218F5"/>
    <w:rsid w:val="39243934"/>
    <w:rsid w:val="3A667F7C"/>
    <w:rsid w:val="3AC70A1B"/>
    <w:rsid w:val="3B4E2EEA"/>
    <w:rsid w:val="3B783AC3"/>
    <w:rsid w:val="3BB05953"/>
    <w:rsid w:val="3CB6CE7B"/>
    <w:rsid w:val="3D0C4E0B"/>
    <w:rsid w:val="3D4A3EE3"/>
    <w:rsid w:val="3E974BA8"/>
    <w:rsid w:val="3F69075C"/>
    <w:rsid w:val="40210BCD"/>
    <w:rsid w:val="403703F1"/>
    <w:rsid w:val="404448BC"/>
    <w:rsid w:val="41F63994"/>
    <w:rsid w:val="438F5E4E"/>
    <w:rsid w:val="44DC1567"/>
    <w:rsid w:val="454F3AE7"/>
    <w:rsid w:val="45F778D3"/>
    <w:rsid w:val="46160AA8"/>
    <w:rsid w:val="46D53BDF"/>
    <w:rsid w:val="46FA2326"/>
    <w:rsid w:val="471E5E67"/>
    <w:rsid w:val="480E2AC1"/>
    <w:rsid w:val="4839282C"/>
    <w:rsid w:val="485B09F4"/>
    <w:rsid w:val="4884619D"/>
    <w:rsid w:val="498521CD"/>
    <w:rsid w:val="499046CE"/>
    <w:rsid w:val="49AB775A"/>
    <w:rsid w:val="49D15412"/>
    <w:rsid w:val="4C575977"/>
    <w:rsid w:val="4C88610C"/>
    <w:rsid w:val="4D01600E"/>
    <w:rsid w:val="4D5D7C9D"/>
    <w:rsid w:val="4D986247"/>
    <w:rsid w:val="4E481A1B"/>
    <w:rsid w:val="4E6F6FA8"/>
    <w:rsid w:val="4EBE7F2F"/>
    <w:rsid w:val="4EC54E1A"/>
    <w:rsid w:val="4EC66B4B"/>
    <w:rsid w:val="4F4A3571"/>
    <w:rsid w:val="4F642884"/>
    <w:rsid w:val="509A417D"/>
    <w:rsid w:val="50A56CB1"/>
    <w:rsid w:val="514C1822"/>
    <w:rsid w:val="526E6D65"/>
    <w:rsid w:val="539F3E8B"/>
    <w:rsid w:val="54595F7A"/>
    <w:rsid w:val="55144670"/>
    <w:rsid w:val="552A3C28"/>
    <w:rsid w:val="555E5AA9"/>
    <w:rsid w:val="55DA38A0"/>
    <w:rsid w:val="5630526E"/>
    <w:rsid w:val="565E627F"/>
    <w:rsid w:val="5717642E"/>
    <w:rsid w:val="574A05B2"/>
    <w:rsid w:val="577B7832"/>
    <w:rsid w:val="57C245EC"/>
    <w:rsid w:val="58030761"/>
    <w:rsid w:val="59170968"/>
    <w:rsid w:val="59611BE3"/>
    <w:rsid w:val="599975CF"/>
    <w:rsid w:val="5A957D96"/>
    <w:rsid w:val="5AD76600"/>
    <w:rsid w:val="5AED01FC"/>
    <w:rsid w:val="5B4A0074"/>
    <w:rsid w:val="5BA54009"/>
    <w:rsid w:val="5CEE378D"/>
    <w:rsid w:val="5D6323CD"/>
    <w:rsid w:val="5ED78F1E"/>
    <w:rsid w:val="60567FC7"/>
    <w:rsid w:val="61196090"/>
    <w:rsid w:val="612E2CF2"/>
    <w:rsid w:val="61946FF9"/>
    <w:rsid w:val="61DC44FC"/>
    <w:rsid w:val="6393508F"/>
    <w:rsid w:val="64CF2CAC"/>
    <w:rsid w:val="653E69EB"/>
    <w:rsid w:val="659D0447"/>
    <w:rsid w:val="65AC490F"/>
    <w:rsid w:val="65F22540"/>
    <w:rsid w:val="6646463A"/>
    <w:rsid w:val="67ED7463"/>
    <w:rsid w:val="67F500C6"/>
    <w:rsid w:val="682E35D8"/>
    <w:rsid w:val="68937D94"/>
    <w:rsid w:val="68E343C2"/>
    <w:rsid w:val="6A681023"/>
    <w:rsid w:val="6A79649F"/>
    <w:rsid w:val="6AA638F9"/>
    <w:rsid w:val="6C33740F"/>
    <w:rsid w:val="6C6E6699"/>
    <w:rsid w:val="6CB00A5F"/>
    <w:rsid w:val="6D5E0131"/>
    <w:rsid w:val="6D6830E8"/>
    <w:rsid w:val="6DB85E1E"/>
    <w:rsid w:val="6E427DDD"/>
    <w:rsid w:val="6E9C573F"/>
    <w:rsid w:val="6F1E6154"/>
    <w:rsid w:val="6F7246F2"/>
    <w:rsid w:val="6FC211D5"/>
    <w:rsid w:val="70D95DDC"/>
    <w:rsid w:val="711C2B67"/>
    <w:rsid w:val="719454B4"/>
    <w:rsid w:val="72441905"/>
    <w:rsid w:val="73B2330F"/>
    <w:rsid w:val="744D3038"/>
    <w:rsid w:val="748A7DE8"/>
    <w:rsid w:val="754B3A1B"/>
    <w:rsid w:val="766D176F"/>
    <w:rsid w:val="775B5A6C"/>
    <w:rsid w:val="784E38FA"/>
    <w:rsid w:val="78650950"/>
    <w:rsid w:val="78992CEF"/>
    <w:rsid w:val="78A0407E"/>
    <w:rsid w:val="78D87374"/>
    <w:rsid w:val="79A100AE"/>
    <w:rsid w:val="79A436FA"/>
    <w:rsid w:val="79AB4A88"/>
    <w:rsid w:val="7A5E5F9F"/>
    <w:rsid w:val="7B2C39A7"/>
    <w:rsid w:val="7B7907A2"/>
    <w:rsid w:val="7EAA7A04"/>
    <w:rsid w:val="7F251568"/>
    <w:rsid w:val="7F3177DE"/>
    <w:rsid w:val="7F69341C"/>
    <w:rsid w:val="7FBF128D"/>
    <w:rsid w:val="7FEAE6F6"/>
    <w:rsid w:val="E641ECE5"/>
    <w:rsid w:val="F1F7B6FA"/>
    <w:rsid w:val="FFE78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p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2274</Words>
  <Characters>2330</Characters>
  <Lines>0</Lines>
  <Paragraphs>0</Paragraphs>
  <TotalTime>1</TotalTime>
  <ScaleCrop>false</ScaleCrop>
  <LinksUpToDate>false</LinksUpToDate>
  <CharactersWithSpaces>2391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2021-11-03T19:27:00Z</dcterms:created>
  <dc:creator>Lenovo</dc:creator>
  <cp:lastModifiedBy>Jmy</cp:lastModifiedBy>
  <cp:lastPrinted>2023-11-22T11:53:00Z</cp:lastPrinted>
  <dcterms:modified xsi:type="dcterms:W3CDTF">2025-11-28T11:51:01Z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7F55942F77DA4CCB251C2969B276B65F_43</vt:lpwstr>
  </property>
  <property fmtid="{D5CDD505-2E9C-101B-9397-08002B2CF9AE}" pid="4" name="KSOTemplateDocerSaveRecord">
    <vt:lpwstr>eyJoZGlkIjoiYjM0NjgyYzg4N2Q4ZGE4NmE5YTE0MzljN2RiZjI1Y2QiLCJ1c2VySWQiOiI3MDM1MzI2NDAifQ==</vt:lpwstr>
  </property>
</Properties>
</file>