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贵阳市粮食储备管理有限公司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检定2025年实验室计量器具报价单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10043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310"/>
        <w:gridCol w:w="1815"/>
        <w:gridCol w:w="1005"/>
        <w:gridCol w:w="998"/>
        <w:gridCol w:w="960"/>
        <w:gridCol w:w="2190"/>
      </w:tblGrid>
      <w:tr>
        <w:trPr>
          <w:trHeight w:val="38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仪器名称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规格/型号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FA2004B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YP5002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DHG-9053A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手动单道可调移液器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手动单道可调移液器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100-1000ul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手动单道可调移液器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1000-5000ul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南明区甘荫塘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YP5002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YP20002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HC10002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FA2004B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DHG-9140A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谷物容重器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GHCS-1000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谷物容重器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BLH-1000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0～300℃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546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谷物水分容重快速测定仪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AM5200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瓶口移液器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1000ul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ZDJ-4B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贵安新区数谷大道</w:t>
            </w:r>
          </w:p>
        </w:tc>
      </w:tr>
      <w:tr>
        <w:trPr>
          <w:trHeight w:val="391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spacing w:line="720" w:lineRule="exact"/>
        <w:ind w:firstLine="3520" w:firstLineChars="11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520" w:firstLineChars="11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报价人（全称并加盖公章）：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ascii="Arial"/>
          <w:sz w:val="21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年   月   日</w:t>
      </w:r>
    </w:p>
    <w:sectPr>
      <w:pgSz w:w="11906" w:h="16839"/>
      <w:pgMar w:top="1440" w:right="1757" w:bottom="1440" w:left="17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2E7CA30C-5C9B-64CD-4803-B9687BD9E4AD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2" w:fontKey="{43E14A1A-D13B-6DA3-4803-B9688234C449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5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dlOTMxMGJhOWU4OWIzNzczNGM2MDlhZGNhOTY2NjcifQ=="/>
  </w:docVars>
  <w:rsids>
    <w:rsidRoot w:val="00000000"/>
    <w:rsid w:val="06DB0A61"/>
    <w:rsid w:val="074301D0"/>
    <w:rsid w:val="1C0352E4"/>
    <w:rsid w:val="2CB505CF"/>
    <w:rsid w:val="2DB12284"/>
    <w:rsid w:val="31140D7D"/>
    <w:rsid w:val="32E020CD"/>
    <w:rsid w:val="39B716C3"/>
    <w:rsid w:val="3FCD0392"/>
    <w:rsid w:val="4E203B38"/>
    <w:rsid w:val="580402F6"/>
    <w:rsid w:val="6A5E253C"/>
    <w:rsid w:val="77EE7596"/>
    <w:rsid w:val="F5DBA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szCs w:val="22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453</Characters>
  <TotalTime>1</TotalTime>
  <ScaleCrop>false</ScaleCrop>
  <LinksUpToDate>false</LinksUpToDate>
  <CharactersWithSpaces>465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2024-02-20T16:38:00Z</dcterms:created>
  <dc:creator>Administrator</dc:creator>
  <cp:lastModifiedBy>Jmy</cp:lastModifiedBy>
  <dcterms:modified xsi:type="dcterms:W3CDTF">2025-09-04T11:11:04Z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2024-03-04T16:05:10Z</vt:filetime>
  </property>
  <property fmtid="{D5CDD505-2E9C-101B-9397-08002B2CF9AE}" pid="4" name="KSOProductBuildVer">
    <vt:lpwstr>2052-6.2.2.8394</vt:lpwstr>
  </property>
  <property fmtid="{D5CDD505-2E9C-101B-9397-08002B2CF9AE}" pid="5" name="ICV">
    <vt:lpwstr>9194387271EDB5954803B968E59A624A_43</vt:lpwstr>
  </property>
  <property fmtid="{D5CDD505-2E9C-101B-9397-08002B2CF9AE}" pid="6" name="KSOTemplateDocerSaveRecord">
    <vt:lpwstr>eyJoZGlkIjoiYjdlOTMxMGJhOWU4OWIzNzczNGM2MDlhZGNhOTY2NjciLCJ1c2VySWQiOiI0ODExMTgwNzcifQ==</vt:lpwstr>
  </property>
</Properties>
</file>