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baseline"/>
        <w:rPr>
          <w:rFonts w:hAnsi="宋体" w:cs="宋体"/>
          <w:b/>
          <w:color w:val="000000"/>
          <w:sz w:val="36"/>
          <w:szCs w:val="36"/>
        </w:rPr>
      </w:pPr>
      <w:bookmarkStart w:id="164" w:name="_GoBack"/>
      <w:bookmarkEnd w:id="164"/>
    </w:p>
    <w:p>
      <w:pPr>
        <w:widowControl/>
        <w:spacing w:line="560" w:lineRule="exact"/>
        <w:jc w:val="center"/>
        <w:textAlignment w:val="baseline"/>
        <w:rPr>
          <w:rFonts w:hAnsi="宋体" w:cs="宋体"/>
          <w:b/>
          <w:color w:val="000000"/>
          <w:sz w:val="36"/>
          <w:szCs w:val="36"/>
        </w:rPr>
      </w:pPr>
    </w:p>
    <w:p>
      <w:pPr>
        <w:widowControl/>
        <w:spacing w:line="560" w:lineRule="exact"/>
        <w:jc w:val="center"/>
        <w:textAlignment w:val="baseline"/>
        <w:rPr>
          <w:rFonts w:hAnsi="宋体" w:cs="宋体"/>
          <w:b/>
          <w:color w:val="000000"/>
          <w:sz w:val="36"/>
          <w:szCs w:val="36"/>
        </w:rPr>
      </w:pPr>
    </w:p>
    <w:p>
      <w:pPr>
        <w:widowControl/>
        <w:spacing w:line="700" w:lineRule="exact"/>
        <w:jc w:val="center"/>
        <w:textAlignment w:val="baseline"/>
        <w:rPr>
          <w:rFonts w:hint="eastAsia" w:hAnsi="宋体" w:cs="宋体"/>
          <w:b/>
          <w:color w:val="000000"/>
          <w:sz w:val="44"/>
          <w:szCs w:val="44"/>
        </w:rPr>
      </w:pPr>
      <w:bookmarkStart w:id="0" w:name="OLE_LINK1"/>
      <w:bookmarkStart w:id="1" w:name="OLE_LINK2"/>
      <w:r>
        <w:rPr>
          <w:rFonts w:hint="eastAsia" w:hAnsi="宋体" w:cs="宋体"/>
          <w:b/>
          <w:color w:val="000000"/>
          <w:sz w:val="44"/>
          <w:szCs w:val="44"/>
        </w:rPr>
        <w:t>贵</w:t>
      </w:r>
      <w:r>
        <w:rPr>
          <w:rFonts w:hint="eastAsia" w:hAnsi="宋体" w:cs="宋体"/>
          <w:b/>
          <w:color w:val="000000"/>
          <w:sz w:val="44"/>
          <w:szCs w:val="44"/>
          <w:lang w:val="en-US" w:eastAsia="zh-CN"/>
        </w:rPr>
        <w:t>州金泰利粮油发展有限公司</w:t>
      </w:r>
      <w:r>
        <w:rPr>
          <w:rFonts w:hint="eastAsia" w:hAnsi="宋体" w:cs="宋体"/>
          <w:b/>
          <w:color w:val="000000"/>
          <w:sz w:val="44"/>
          <w:szCs w:val="44"/>
        </w:rPr>
        <w:t>采购</w:t>
      </w:r>
    </w:p>
    <w:p>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lang w:val="en-US" w:eastAsia="zh-CN"/>
        </w:rPr>
        <w:t>气相色谱-质谱仪</w:t>
      </w:r>
      <w:r>
        <w:rPr>
          <w:rFonts w:hint="eastAsia" w:hAnsi="宋体" w:cs="宋体"/>
          <w:b/>
          <w:color w:val="000000"/>
          <w:sz w:val="44"/>
          <w:szCs w:val="44"/>
        </w:rPr>
        <w:t>项目</w:t>
      </w:r>
    </w:p>
    <w:bookmarkEnd w:id="0"/>
    <w:bookmarkEnd w:id="1"/>
    <w:p>
      <w:pPr>
        <w:pStyle w:val="6"/>
        <w:ind w:firstLine="883"/>
        <w:rPr>
          <w:rFonts w:hAnsi="宋体" w:cs="宋体"/>
          <w:b/>
          <w:color w:val="000000"/>
          <w:sz w:val="44"/>
          <w:szCs w:val="44"/>
        </w:rPr>
      </w:pPr>
    </w:p>
    <w:p>
      <w:pPr>
        <w:pStyle w:val="6"/>
        <w:ind w:firstLine="883"/>
        <w:rPr>
          <w:rFonts w:hAnsi="宋体" w:cs="宋体"/>
          <w:b/>
          <w:color w:val="000000"/>
          <w:sz w:val="44"/>
          <w:szCs w:val="44"/>
        </w:rPr>
      </w:pPr>
    </w:p>
    <w:p>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rPr>
        <w:t>竞争性磋商文件</w:t>
      </w: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napToGrid w:val="0"/>
        <w:spacing w:line="560" w:lineRule="exact"/>
        <w:ind w:firstLine="560" w:firstLineChars="200"/>
        <w:jc w:val="both"/>
        <w:textAlignment w:val="baseline"/>
        <w:rPr>
          <w:rFonts w:hAnsi="宋体" w:cs="宋体"/>
          <w:bCs/>
          <w:color w:val="000000"/>
          <w:sz w:val="28"/>
          <w:szCs w:val="28"/>
        </w:rPr>
      </w:pPr>
      <w:r>
        <w:rPr>
          <w:rFonts w:hint="eastAsia" w:hAnsi="宋体" w:cs="宋体"/>
          <w:bCs/>
          <w:color w:val="000000"/>
          <w:sz w:val="28"/>
          <w:szCs w:val="28"/>
        </w:rPr>
        <w:t>项目名称：</w:t>
      </w:r>
      <w:r>
        <w:rPr>
          <w:rFonts w:hint="eastAsia" w:hAnsi="宋体" w:cs="宋体"/>
          <w:bCs/>
          <w:color w:val="000000"/>
          <w:sz w:val="28"/>
          <w:szCs w:val="28"/>
          <w:u w:val="single"/>
          <w:lang w:val="en-US" w:eastAsia="zh-CN"/>
        </w:rPr>
        <w:t>采购气相色谱-质谱仪</w:t>
      </w:r>
      <w:r>
        <w:rPr>
          <w:rFonts w:hint="eastAsia" w:hAnsi="宋体" w:cs="宋体"/>
          <w:bCs/>
          <w:color w:val="000000"/>
          <w:sz w:val="28"/>
          <w:szCs w:val="28"/>
          <w:u w:val="single"/>
        </w:rPr>
        <w:t>项目</w:t>
      </w:r>
    </w:p>
    <w:p>
      <w:pPr>
        <w:widowControl/>
        <w:snapToGrid w:val="0"/>
        <w:spacing w:line="560" w:lineRule="exact"/>
        <w:jc w:val="center"/>
        <w:textAlignment w:val="baseline"/>
        <w:rPr>
          <w:rFonts w:hAnsi="宋体" w:cs="宋体"/>
          <w:b/>
          <w:vanish/>
          <w:color w:val="000000"/>
          <w:sz w:val="28"/>
          <w:szCs w:val="28"/>
        </w:rPr>
      </w:pPr>
      <w:r>
        <w:rPr>
          <w:rFonts w:hint="eastAsia" w:hAnsi="宋体" w:cs="宋体"/>
          <w:b/>
          <w:vanish/>
          <w:color w:val="000000"/>
          <w:sz w:val="28"/>
          <w:szCs w:val="28"/>
        </w:rPr>
        <w:t>采购</w:t>
      </w:r>
    </w:p>
    <w:p>
      <w:pPr>
        <w:widowControl/>
        <w:snapToGrid w:val="0"/>
        <w:spacing w:line="560" w:lineRule="exact"/>
        <w:ind w:firstLine="560" w:firstLineChars="200"/>
        <w:textAlignment w:val="baseline"/>
        <w:rPr>
          <w:rFonts w:hAnsi="宋体" w:cs="宋体"/>
          <w:bCs/>
          <w:color w:val="000000"/>
          <w:sz w:val="28"/>
          <w:szCs w:val="28"/>
        </w:rPr>
      </w:pPr>
      <w:r>
        <w:rPr>
          <w:rFonts w:hint="eastAsia" w:hAnsi="宋体" w:cs="宋体"/>
          <w:bCs/>
          <w:color w:val="000000"/>
          <w:sz w:val="28"/>
          <w:szCs w:val="28"/>
        </w:rPr>
        <w:t>采购方式：</w:t>
      </w:r>
      <w:r>
        <w:rPr>
          <w:rFonts w:hint="eastAsia" w:hAnsi="宋体" w:cs="宋体"/>
          <w:bCs/>
          <w:color w:val="000000"/>
          <w:sz w:val="28"/>
          <w:szCs w:val="28"/>
          <w:u w:val="single"/>
        </w:rPr>
        <w:t>竞争性磋商</w:t>
      </w:r>
    </w:p>
    <w:p>
      <w:pPr>
        <w:widowControl/>
        <w:snapToGrid w:val="0"/>
        <w:spacing w:line="560" w:lineRule="exact"/>
        <w:ind w:firstLine="560" w:firstLineChars="200"/>
        <w:textAlignment w:val="baseline"/>
        <w:rPr>
          <w:rFonts w:hAnsi="宋体" w:cs="宋体"/>
          <w:bCs/>
          <w:color w:val="000000"/>
          <w:sz w:val="28"/>
          <w:szCs w:val="28"/>
        </w:rPr>
      </w:pPr>
      <w:r>
        <w:rPr>
          <w:rFonts w:hint="eastAsia" w:hAnsi="宋体" w:cs="宋体"/>
          <w:bCs/>
          <w:color w:val="000000"/>
          <w:sz w:val="28"/>
          <w:szCs w:val="28"/>
        </w:rPr>
        <w:t>采购类别：</w:t>
      </w:r>
      <w:r>
        <w:rPr>
          <w:rFonts w:hint="eastAsia" w:hAnsi="宋体" w:cs="宋体"/>
          <w:bCs/>
          <w:color w:val="000000"/>
          <w:sz w:val="28"/>
          <w:szCs w:val="28"/>
          <w:u w:val="single"/>
        </w:rPr>
        <w:t>固定资产</w:t>
      </w:r>
    </w:p>
    <w:p>
      <w:pPr>
        <w:widowControl/>
        <w:snapToGrid w:val="0"/>
        <w:spacing w:line="560" w:lineRule="exact"/>
        <w:ind w:left="228" w:leftChars="67" w:firstLine="549" w:firstLineChars="196"/>
        <w:jc w:val="center"/>
        <w:textAlignment w:val="baseline"/>
        <w:rPr>
          <w:rFonts w:hAnsi="宋体" w:cs="宋体"/>
          <w:b/>
          <w:color w:val="000000"/>
          <w:sz w:val="28"/>
          <w:szCs w:val="28"/>
        </w:rPr>
      </w:pPr>
    </w:p>
    <w:p>
      <w:pPr>
        <w:spacing w:line="560" w:lineRule="exact"/>
        <w:jc w:val="center"/>
        <w:rPr>
          <w:b/>
          <w:color w:val="000000"/>
          <w:sz w:val="36"/>
          <w:szCs w:val="36"/>
        </w:rPr>
      </w:pPr>
    </w:p>
    <w:p>
      <w:pPr>
        <w:pStyle w:val="5"/>
        <w:ind w:left="680"/>
        <w:rPr>
          <w:b/>
          <w:color w:val="000000"/>
          <w:sz w:val="36"/>
          <w:szCs w:val="36"/>
        </w:rPr>
      </w:pPr>
    </w:p>
    <w:p>
      <w:pPr>
        <w:rPr>
          <w:color w:val="000000"/>
        </w:rPr>
      </w:pPr>
    </w:p>
    <w:p>
      <w:pPr>
        <w:pStyle w:val="11"/>
        <w:tabs>
          <w:tab w:val="left" w:pos="3030"/>
        </w:tabs>
        <w:spacing w:beforeLines="100" w:line="440" w:lineRule="exact"/>
        <w:ind w:firstLine="641"/>
        <w:jc w:val="center"/>
        <w:rPr>
          <w:rFonts w:hAnsi="宋体" w:cs="宋体"/>
          <w:b/>
          <w:color w:val="000000"/>
          <w:sz w:val="32"/>
          <w:szCs w:val="32"/>
        </w:rPr>
      </w:pPr>
      <w:r>
        <w:rPr>
          <w:rFonts w:hint="eastAsia" w:hAnsi="宋体" w:cs="宋体"/>
          <w:b/>
          <w:color w:val="000000"/>
          <w:sz w:val="32"/>
          <w:szCs w:val="32"/>
        </w:rPr>
        <w:t>采 购 人</w:t>
      </w:r>
    </w:p>
    <w:p>
      <w:pPr>
        <w:spacing w:line="440" w:lineRule="exact"/>
        <w:ind w:firstLine="480" w:firstLineChars="200"/>
        <w:rPr>
          <w:rFonts w:hAnsi="宋体" w:cs="宋体"/>
          <w:color w:val="000000"/>
          <w:sz w:val="24"/>
          <w:szCs w:val="24"/>
        </w:rPr>
      </w:pPr>
      <w:r>
        <w:rPr>
          <w:rFonts w:hint="eastAsia" w:hAnsi="宋体" w:cs="宋体"/>
          <w:color w:val="000000"/>
          <w:sz w:val="24"/>
          <w:szCs w:val="24"/>
        </w:rPr>
        <w:t>采</w:t>
      </w:r>
      <w:r>
        <w:rPr>
          <w:rFonts w:hint="eastAsia" w:hAnsi="宋体" w:cs="宋体"/>
          <w:color w:val="000000"/>
          <w:sz w:val="24"/>
          <w:szCs w:val="24"/>
          <w:lang w:val="en-US" w:eastAsia="zh-CN"/>
        </w:rPr>
        <w:t xml:space="preserve"> </w:t>
      </w:r>
      <w:r>
        <w:rPr>
          <w:rFonts w:hint="eastAsia" w:hAnsi="宋体" w:cs="宋体"/>
          <w:color w:val="000000"/>
          <w:sz w:val="24"/>
          <w:szCs w:val="24"/>
        </w:rPr>
        <w:t>购</w:t>
      </w:r>
      <w:r>
        <w:rPr>
          <w:rFonts w:hint="eastAsia" w:hAnsi="宋体" w:cs="宋体"/>
          <w:color w:val="000000"/>
          <w:sz w:val="24"/>
          <w:szCs w:val="24"/>
          <w:lang w:val="en-US" w:eastAsia="zh-CN"/>
        </w:rPr>
        <w:t xml:space="preserve"> </w:t>
      </w:r>
      <w:r>
        <w:rPr>
          <w:rFonts w:hint="eastAsia" w:hAnsi="宋体" w:cs="宋体"/>
          <w:color w:val="000000"/>
          <w:sz w:val="24"/>
          <w:szCs w:val="24"/>
        </w:rPr>
        <w:t>人：</w:t>
      </w:r>
      <w:r>
        <w:rPr>
          <w:rFonts w:hint="eastAsia" w:hAnsi="宋体" w:cs="宋体"/>
          <w:color w:val="000000"/>
          <w:sz w:val="24"/>
          <w:szCs w:val="24"/>
          <w:lang w:val="en-US" w:eastAsia="zh-CN"/>
        </w:rPr>
        <w:t>贵州金泰利粮油发展</w:t>
      </w:r>
      <w:r>
        <w:rPr>
          <w:rFonts w:hint="eastAsia" w:hAnsi="宋体" w:cs="宋体"/>
          <w:color w:val="000000"/>
          <w:sz w:val="24"/>
          <w:szCs w:val="24"/>
        </w:rPr>
        <w:t>有限公司</w:t>
      </w:r>
    </w:p>
    <w:p>
      <w:pPr>
        <w:spacing w:line="440" w:lineRule="exact"/>
        <w:ind w:firstLine="480" w:firstLineChars="200"/>
        <w:rPr>
          <w:rFonts w:hint="default" w:hAnsi="宋体" w:eastAsia="宋体" w:cs="宋体"/>
          <w:color w:val="000000"/>
          <w:sz w:val="24"/>
          <w:szCs w:val="24"/>
          <w:lang w:val="en-US" w:eastAsia="zh-CN"/>
        </w:rPr>
      </w:pPr>
      <w:r>
        <w:rPr>
          <w:rFonts w:hint="eastAsia" w:hAnsi="宋体" w:cs="宋体"/>
          <w:color w:val="000000"/>
          <w:sz w:val="24"/>
          <w:szCs w:val="24"/>
        </w:rPr>
        <w:t>详细地址：</w:t>
      </w:r>
      <w:r>
        <w:rPr>
          <w:rFonts w:hint="eastAsia" w:hAnsi="宋体"/>
          <w:color w:val="000000"/>
          <w:sz w:val="24"/>
        </w:rPr>
        <w:t>贵阳市</w:t>
      </w:r>
      <w:r>
        <w:rPr>
          <w:rFonts w:hint="eastAsia" w:hAnsi="宋体"/>
          <w:color w:val="000000"/>
          <w:sz w:val="24"/>
          <w:lang w:val="en-US" w:eastAsia="zh-CN"/>
        </w:rPr>
        <w:t>白云区粑粑坳粮食仓库贵州金泰利粮油发展有限公司</w:t>
      </w:r>
    </w:p>
    <w:p>
      <w:pPr>
        <w:spacing w:line="440" w:lineRule="exact"/>
        <w:ind w:firstLine="480" w:firstLineChars="200"/>
        <w:rPr>
          <w:rFonts w:hAnsi="宋体" w:cs="宋体"/>
          <w:color w:val="000000"/>
          <w:sz w:val="24"/>
          <w:szCs w:val="24"/>
        </w:rPr>
      </w:pPr>
      <w:r>
        <w:rPr>
          <w:rFonts w:hint="eastAsia" w:hAnsi="宋体" w:cs="宋体"/>
          <w:color w:val="000000"/>
          <w:sz w:val="24"/>
          <w:szCs w:val="24"/>
        </w:rPr>
        <w:t>联 系 人：</w:t>
      </w:r>
      <w:r>
        <w:rPr>
          <w:rFonts w:hint="eastAsia" w:hAnsi="宋体" w:cs="宋体"/>
          <w:color w:val="000000"/>
          <w:sz w:val="24"/>
          <w:szCs w:val="24"/>
          <w:lang w:val="en-US" w:eastAsia="zh-CN"/>
        </w:rPr>
        <w:t>任申科</w:t>
      </w:r>
      <w:r>
        <w:rPr>
          <w:rFonts w:hint="eastAsia" w:hAnsi="宋体" w:cs="宋体"/>
          <w:color w:val="000000"/>
          <w:sz w:val="24"/>
          <w:szCs w:val="24"/>
        </w:rPr>
        <w:t xml:space="preserve">                 </w:t>
      </w:r>
    </w:p>
    <w:p>
      <w:pPr>
        <w:spacing w:line="440" w:lineRule="exact"/>
        <w:ind w:firstLine="480" w:firstLineChars="200"/>
        <w:rPr>
          <w:rFonts w:hint="default" w:hAnsi="宋体" w:eastAsia="宋体" w:cs="宋体"/>
          <w:b/>
          <w:color w:val="000000"/>
          <w:sz w:val="24"/>
          <w:szCs w:val="24"/>
          <w:lang w:val="en-US" w:eastAsia="zh-CN"/>
        </w:rPr>
      </w:pPr>
      <w:r>
        <w:rPr>
          <w:rFonts w:hint="eastAsia" w:hAnsi="宋体" w:cs="宋体"/>
          <w:color w:val="000000"/>
          <w:sz w:val="24"/>
          <w:szCs w:val="24"/>
        </w:rPr>
        <w:t>联系电话：</w:t>
      </w:r>
      <w:r>
        <w:rPr>
          <w:rFonts w:hint="eastAsia" w:hAnsi="宋体" w:cs="宋体"/>
          <w:color w:val="000000"/>
          <w:sz w:val="24"/>
          <w:szCs w:val="24"/>
          <w:lang w:val="en-US" w:eastAsia="zh-CN"/>
        </w:rPr>
        <w:t>13984847701</w:t>
      </w:r>
    </w:p>
    <w:p>
      <w:pPr>
        <w:spacing w:line="560" w:lineRule="exact"/>
        <w:jc w:val="center"/>
        <w:rPr>
          <w:b/>
          <w:color w:val="000000"/>
          <w:sz w:val="44"/>
          <w:szCs w:val="44"/>
        </w:rPr>
      </w:pPr>
    </w:p>
    <w:p>
      <w:pPr>
        <w:spacing w:line="560" w:lineRule="exact"/>
        <w:jc w:val="center"/>
        <w:rPr>
          <w:b/>
          <w:color w:val="000000"/>
          <w:sz w:val="44"/>
          <w:szCs w:val="44"/>
        </w:rPr>
      </w:pPr>
      <w:r>
        <w:rPr>
          <w:rFonts w:hint="eastAsia" w:hAnsi="宋体" w:cs="宋体"/>
          <w:b/>
          <w:color w:val="000000"/>
          <w:kern w:val="2"/>
          <w:sz w:val="32"/>
          <w:szCs w:val="32"/>
        </w:rPr>
        <w:t>响应文件递交及竞争性磋商地点</w:t>
      </w:r>
    </w:p>
    <w:p>
      <w:pPr>
        <w:spacing w:line="560" w:lineRule="exact"/>
        <w:ind w:firstLine="480" w:firstLineChars="200"/>
        <w:jc w:val="left"/>
        <w:rPr>
          <w:rFonts w:hint="default" w:eastAsia="宋体"/>
          <w:b/>
          <w:color w:val="000000"/>
          <w:sz w:val="44"/>
          <w:szCs w:val="44"/>
          <w:lang w:val="en-US" w:eastAsia="zh-CN"/>
        </w:rPr>
      </w:pPr>
      <w:r>
        <w:rPr>
          <w:rFonts w:hint="eastAsia" w:hAnsi="宋体"/>
          <w:color w:val="000000"/>
          <w:sz w:val="24"/>
        </w:rPr>
        <w:t>贵阳市</w:t>
      </w:r>
      <w:r>
        <w:rPr>
          <w:rFonts w:hint="eastAsia" w:hAnsi="宋体"/>
          <w:color w:val="000000"/>
          <w:sz w:val="24"/>
          <w:lang w:val="en-US" w:eastAsia="zh-CN"/>
        </w:rPr>
        <w:t>白云区粑粑坳粮食仓库贵州金泰利粮油发展有限公司</w:t>
      </w: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rPr>
          <w:b/>
          <w:color w:val="000000"/>
          <w:sz w:val="44"/>
          <w:szCs w:val="44"/>
        </w:rPr>
      </w:pPr>
    </w:p>
    <w:p>
      <w:pPr>
        <w:pStyle w:val="5"/>
        <w:ind w:left="680"/>
        <w:rPr>
          <w:b/>
          <w:color w:val="000000"/>
          <w:sz w:val="44"/>
          <w:szCs w:val="44"/>
        </w:rPr>
      </w:pPr>
    </w:p>
    <w:p>
      <w:pPr>
        <w:rPr>
          <w:color w:val="000000"/>
        </w:rPr>
      </w:pPr>
    </w:p>
    <w:p>
      <w:pPr>
        <w:spacing w:line="560" w:lineRule="exact"/>
        <w:jc w:val="both"/>
        <w:rPr>
          <w:b/>
          <w:color w:val="000000"/>
          <w:sz w:val="36"/>
          <w:szCs w:val="36"/>
        </w:rPr>
      </w:pPr>
    </w:p>
    <w:sdt>
      <w:sdtPr>
        <w:rPr>
          <w:rFonts w:ascii="宋体" w:hAnsi="宋体" w:eastAsia="宋体" w:cs="Times New Roman"/>
          <w:sz w:val="52"/>
          <w:szCs w:val="52"/>
          <w:lang w:val="en-US" w:eastAsia="zh-CN" w:bidi="ar-SA"/>
        </w:rPr>
        <w:id w:val="147462622"/>
        <w15:color w:val="DBDBDB"/>
        <w:docPartObj>
          <w:docPartGallery w:val="Table of Contents"/>
          <w:docPartUnique/>
        </w:docPartObj>
      </w:sdtPr>
      <w:sdtEndPr>
        <w:rPr>
          <w:rFonts w:hint="eastAsia" w:ascii="仿宋" w:hAnsi="仿宋" w:eastAsia="仿宋" w:cs="仿宋"/>
          <w:color w:val="000000"/>
          <w:sz w:val="34"/>
          <w:szCs w:val="21"/>
          <w:lang w:val="en-US" w:eastAsia="zh-CN" w:bidi="ar-SA"/>
        </w:rPr>
      </w:sdtEndPr>
      <w:sdtContent>
        <w:p>
          <w:pPr>
            <w:spacing w:before="0" w:beforeLines="0" w:after="0" w:afterLines="0" w:line="240" w:lineRule="auto"/>
            <w:ind w:left="0" w:leftChars="0" w:right="0" w:rightChars="0" w:firstLine="0" w:firstLineChars="0"/>
            <w:jc w:val="center"/>
            <w:rPr>
              <w:sz w:val="52"/>
              <w:szCs w:val="52"/>
            </w:rPr>
          </w:pPr>
          <w:r>
            <w:rPr>
              <w:rFonts w:ascii="宋体" w:hAnsi="宋体" w:eastAsia="宋体"/>
              <w:sz w:val="52"/>
              <w:szCs w:val="52"/>
            </w:rPr>
            <w:t>目</w:t>
          </w:r>
          <w:r>
            <w:rPr>
              <w:rFonts w:hint="eastAsia" w:ascii="宋体" w:hAnsi="宋体" w:eastAsia="宋体"/>
              <w:sz w:val="52"/>
              <w:szCs w:val="52"/>
              <w:lang w:val="en-US" w:eastAsia="zh-CN"/>
            </w:rPr>
            <w:t xml:space="preserve">   </w:t>
          </w:r>
          <w:r>
            <w:rPr>
              <w:rFonts w:ascii="宋体" w:hAnsi="宋体" w:eastAsia="宋体"/>
              <w:sz w:val="52"/>
              <w:szCs w:val="52"/>
            </w:rPr>
            <w:t>录</w:t>
          </w:r>
        </w:p>
        <w:p>
          <w:pPr>
            <w:pStyle w:val="16"/>
            <w:tabs>
              <w:tab w:val="right" w:leader="dot" w:pos="9071"/>
              <w:tab w:val="clear" w:pos="9061"/>
            </w:tabs>
            <w:rPr>
              <w:rFonts w:hint="eastAsia" w:asciiTheme="minorEastAsia" w:hAnsiTheme="minorEastAsia" w:eastAsiaTheme="minorEastAsia" w:cstheme="minorEastAsia"/>
              <w:color w:val="000000"/>
              <w:sz w:val="24"/>
              <w:szCs w:val="24"/>
            </w:rPr>
          </w:pPr>
          <w:r>
            <w:rPr>
              <w:rFonts w:hint="eastAsia" w:ascii="仿宋" w:hAnsi="仿宋" w:eastAsia="仿宋" w:cs="仿宋"/>
              <w:color w:val="000000"/>
              <w:sz w:val="24"/>
              <w:szCs w:val="24"/>
            </w:rPr>
            <w:fldChar w:fldCharType="begin"/>
          </w:r>
          <w:r>
            <w:rPr>
              <w:sz w:val="24"/>
              <w:szCs w:val="24"/>
            </w:rPr>
            <w:instrText xml:space="preserve">TOC \o "1-2" \h \u </w:instrText>
          </w:r>
          <w:r>
            <w:rPr>
              <w:rFonts w:hint="eastAsia" w:ascii="仿宋" w:hAnsi="仿宋" w:eastAsia="仿宋" w:cs="仿宋"/>
              <w:color w:val="000000"/>
              <w:sz w:val="24"/>
              <w:szCs w:val="24"/>
            </w:rPr>
            <w:fldChar w:fldCharType="separate"/>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_Toc3091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第一部分 专用部分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_Toc5873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第一章　采购邀请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_Toc29242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第一节 采购邀请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_Toc29242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_Toc32109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第二节  竞争性磋商相关资料表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_Toc29188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第三节  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_Toc9315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第二章　采购内容及要求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_Toc9315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_Toc21831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第一节  采购内容及要求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_Toc21831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_Toc3372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第三章　评审办法及评分标准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_Toc3372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_Toc23229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第一节 评审办法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_Toc23229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_Toc21373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第二节 评分标准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_Toc21373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_Toc16722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第三节 废标条款（针对整个项目）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_Toc16722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_Toc14921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第四节 无效标条款（针对单个供应商）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_Toc14921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_Toc26606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第二部分  通用部分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_Toc26606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_Toc13713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第四章 采购程序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_Toc13713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_Toc10342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第一节 发布采购公告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_Toc10342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_Toc24161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第二节 获取竞争性磋商文件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_Toc27634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第三节 递交响应文件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_Toc27634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_Toc25576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第四节 竞争性磋商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_Toc25576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_Toc19575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第五节 发送成交公告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_Toc19575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_Toc18981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第六节 签订采购合同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_Toc18981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_Toc28928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第七节 </w:t>
          </w:r>
          <w:r>
            <w:rPr>
              <w:rFonts w:hint="eastAsia" w:asciiTheme="minorEastAsia" w:hAnsiTheme="minorEastAsia" w:eastAsiaTheme="minorEastAsia" w:cstheme="minorEastAsia"/>
              <w:bCs/>
              <w:sz w:val="24"/>
              <w:szCs w:val="24"/>
            </w:rPr>
            <w:t>询问及质疑</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_Toc28928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6"/>
            <w:tabs>
              <w:tab w:val="right" w:leader="dot" w:pos="9071"/>
              <w:tab w:val="clear" w:pos="9061"/>
            </w:tabs>
            <w:rPr>
              <w:rFonts w:hint="eastAsia" w:ascii="仿宋" w:hAnsi="仿宋" w:eastAsia="仿宋" w:cs="仿宋"/>
              <w:color w:val="000000"/>
              <w:sz w:val="34"/>
              <w:szCs w:val="21"/>
              <w:lang w:val="en-US" w:eastAsia="zh-CN" w:bidi="ar-SA"/>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_Toc2797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第三部分  响应文件编制规范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r>
            <w:rPr>
              <w:rFonts w:hint="eastAsia" w:ascii="仿宋" w:hAnsi="仿宋" w:eastAsia="仿宋" w:cs="仿宋"/>
              <w:color w:val="000000"/>
              <w:sz w:val="24"/>
              <w:szCs w:val="24"/>
            </w:rPr>
            <w:fldChar w:fldCharType="end"/>
          </w:r>
        </w:p>
      </w:sdtContent>
    </w:sdt>
    <w:p/>
    <w:p>
      <w:pPr>
        <w:numPr>
          <w:ilvl w:val="0"/>
          <w:numId w:val="1"/>
        </w:numPr>
        <w:spacing w:line="560" w:lineRule="exact"/>
        <w:jc w:val="center"/>
        <w:outlineLvl w:val="0"/>
        <w:rPr>
          <w:b/>
          <w:bCs/>
          <w:color w:val="000000"/>
        </w:rPr>
      </w:pPr>
      <w:bookmarkStart w:id="2" w:name="_Toc3091"/>
      <w:r>
        <w:rPr>
          <w:rFonts w:hint="eastAsia" w:hAnsi="宋体" w:cs="Arial"/>
          <w:b/>
          <w:bCs/>
          <w:color w:val="000000"/>
        </w:rPr>
        <w:t>专用部分</w:t>
      </w:r>
      <w:bookmarkEnd w:id="2"/>
    </w:p>
    <w:p>
      <w:pPr>
        <w:pStyle w:val="3"/>
        <w:spacing w:line="360" w:lineRule="auto"/>
        <w:jc w:val="center"/>
        <w:outlineLvl w:val="1"/>
        <w:rPr>
          <w:rFonts w:ascii="宋体" w:hAnsi="宋体" w:eastAsia="宋体" w:cs="宋体"/>
          <w:color w:val="000000"/>
          <w:sz w:val="24"/>
          <w:szCs w:val="24"/>
        </w:rPr>
      </w:pPr>
      <w:bookmarkStart w:id="3" w:name="_Toc406672381"/>
      <w:bookmarkStart w:id="4" w:name="_Toc406671083"/>
      <w:bookmarkStart w:id="5" w:name="_Toc406671675"/>
      <w:bookmarkStart w:id="6" w:name="_Toc406670711"/>
      <w:bookmarkStart w:id="7" w:name="_Toc5873"/>
      <w:bookmarkStart w:id="8" w:name="_Toc18178"/>
      <w:r>
        <w:rPr>
          <w:rFonts w:hint="eastAsia" w:ascii="宋体" w:hAnsi="宋体" w:eastAsia="宋体" w:cs="宋体"/>
          <w:color w:val="000000"/>
          <w:sz w:val="24"/>
          <w:szCs w:val="24"/>
        </w:rPr>
        <w:t>第一章　</w:t>
      </w:r>
      <w:bookmarkEnd w:id="3"/>
      <w:bookmarkEnd w:id="4"/>
      <w:bookmarkEnd w:id="5"/>
      <w:bookmarkEnd w:id="6"/>
      <w:r>
        <w:rPr>
          <w:rFonts w:hint="eastAsia" w:ascii="宋体" w:hAnsi="宋体" w:eastAsia="宋体" w:cs="宋体"/>
          <w:color w:val="000000"/>
          <w:sz w:val="24"/>
          <w:szCs w:val="24"/>
        </w:rPr>
        <w:t>采购邀请</w:t>
      </w:r>
      <w:bookmarkEnd w:id="7"/>
      <w:bookmarkEnd w:id="8"/>
    </w:p>
    <w:p>
      <w:pPr>
        <w:pStyle w:val="4"/>
        <w:outlineLvl w:val="0"/>
        <w:rPr>
          <w:rFonts w:hAnsi="宋体" w:eastAsia="宋体" w:cs="宋体"/>
          <w:b/>
          <w:color w:val="000000"/>
          <w:sz w:val="24"/>
          <w:szCs w:val="24"/>
        </w:rPr>
      </w:pPr>
      <w:bookmarkStart w:id="9" w:name="_Toc19838"/>
      <w:bookmarkStart w:id="10" w:name="_Toc29242"/>
      <w:r>
        <w:rPr>
          <w:rFonts w:hint="eastAsia" w:hAnsi="宋体" w:eastAsia="宋体" w:cs="宋体"/>
          <w:b/>
          <w:color w:val="000000"/>
          <w:sz w:val="24"/>
          <w:szCs w:val="24"/>
        </w:rPr>
        <w:t>第一节 采购邀请</w:t>
      </w:r>
      <w:bookmarkEnd w:id="9"/>
      <w:bookmarkEnd w:id="10"/>
    </w:p>
    <w:p>
      <w:pPr>
        <w:spacing w:line="440" w:lineRule="exact"/>
        <w:rPr>
          <w:rFonts w:hAnsi="宋体" w:cs="宋体"/>
          <w:b/>
          <w:color w:val="000000"/>
          <w:sz w:val="24"/>
          <w:szCs w:val="24"/>
        </w:rPr>
      </w:pPr>
      <w:bookmarkStart w:id="11" w:name="_Toc406670713"/>
      <w:r>
        <w:rPr>
          <w:rFonts w:hint="eastAsia" w:hAnsi="宋体" w:cs="宋体"/>
          <w:b/>
          <w:color w:val="000000"/>
          <w:sz w:val="24"/>
          <w:szCs w:val="24"/>
        </w:rPr>
        <w:t>致：各供应商</w:t>
      </w:r>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lang w:val="en-US" w:eastAsia="zh-CN"/>
        </w:rPr>
        <w:t>气相色谱-质谱仪</w:t>
      </w:r>
      <w:r>
        <w:rPr>
          <w:rFonts w:hint="eastAsia" w:hAnsi="宋体" w:cs="宋体"/>
          <w:bCs/>
          <w:color w:val="000000"/>
          <w:sz w:val="24"/>
          <w:szCs w:val="24"/>
          <w:u w:val="single"/>
        </w:rPr>
        <w:t>项目</w:t>
      </w:r>
      <w:r>
        <w:rPr>
          <w:rFonts w:hint="eastAsia" w:hAnsi="宋体" w:cs="宋体"/>
          <w:bCs/>
          <w:color w:val="000000"/>
          <w:sz w:val="24"/>
          <w:szCs w:val="24"/>
        </w:rPr>
        <w:t>进行竞争性磋商。</w:t>
      </w:r>
    </w:p>
    <w:p>
      <w:pPr>
        <w:pStyle w:val="5"/>
        <w:ind w:left="680"/>
        <w:rPr>
          <w:color w:val="000000"/>
        </w:rPr>
      </w:pPr>
    </w:p>
    <w:bookmarkEnd w:id="11"/>
    <w:p>
      <w:pPr>
        <w:spacing w:line="440" w:lineRule="exact"/>
        <w:ind w:firstLine="480" w:firstLineChars="200"/>
        <w:outlineLvl w:val="0"/>
        <w:rPr>
          <w:rFonts w:hAnsi="宋体" w:cs="宋体"/>
          <w:b/>
          <w:color w:val="000000"/>
          <w:sz w:val="24"/>
          <w:szCs w:val="24"/>
        </w:rPr>
      </w:pPr>
      <w:bookmarkStart w:id="12" w:name="_Toc26910"/>
      <w:bookmarkStart w:id="13" w:name="_Toc12517"/>
      <w:bookmarkStart w:id="14" w:name="_Toc18573"/>
      <w:bookmarkStart w:id="15" w:name="_Toc406671086"/>
      <w:bookmarkStart w:id="16" w:name="_Toc406670715"/>
      <w:r>
        <w:rPr>
          <w:rFonts w:hint="eastAsia" w:hAnsi="宋体" w:cs="宋体"/>
          <w:b/>
          <w:color w:val="000000"/>
          <w:sz w:val="24"/>
          <w:szCs w:val="24"/>
        </w:rPr>
        <w:t>1.发布公告媒体：</w:t>
      </w:r>
      <w:bookmarkEnd w:id="12"/>
      <w:bookmarkEnd w:id="13"/>
      <w:bookmarkEnd w:id="14"/>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pPr>
        <w:pStyle w:val="5"/>
        <w:ind w:left="680"/>
        <w:rPr>
          <w:color w:val="000000"/>
        </w:rPr>
      </w:pPr>
    </w:p>
    <w:p>
      <w:pPr>
        <w:spacing w:line="440" w:lineRule="exact"/>
        <w:ind w:firstLine="480" w:firstLineChars="200"/>
        <w:outlineLvl w:val="0"/>
        <w:rPr>
          <w:rFonts w:hAnsi="宋体" w:cs="宋体"/>
          <w:b/>
          <w:color w:val="000000"/>
          <w:sz w:val="24"/>
          <w:szCs w:val="24"/>
        </w:rPr>
      </w:pPr>
      <w:bookmarkStart w:id="17" w:name="_Toc10871"/>
      <w:bookmarkStart w:id="18" w:name="_Toc22042"/>
      <w:bookmarkStart w:id="19" w:name="_Toc30400"/>
      <w:r>
        <w:rPr>
          <w:rFonts w:hint="eastAsia" w:hAnsi="宋体" w:cs="宋体"/>
          <w:b/>
          <w:color w:val="000000"/>
          <w:sz w:val="24"/>
          <w:szCs w:val="24"/>
        </w:rPr>
        <w:t>2.获取竞争性磋商文件时间：</w:t>
      </w:r>
      <w:bookmarkEnd w:id="17"/>
      <w:bookmarkEnd w:id="18"/>
      <w:bookmarkEnd w:id="19"/>
    </w:p>
    <w:p>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pPr>
        <w:pStyle w:val="5"/>
        <w:ind w:left="680"/>
        <w:rPr>
          <w:color w:val="000000"/>
        </w:rPr>
      </w:pPr>
    </w:p>
    <w:p>
      <w:pPr>
        <w:spacing w:line="440" w:lineRule="exact"/>
        <w:ind w:firstLine="480" w:firstLineChars="200"/>
        <w:outlineLvl w:val="0"/>
        <w:rPr>
          <w:rFonts w:hAnsi="宋体" w:cs="宋体"/>
          <w:b/>
          <w:color w:val="000000"/>
          <w:sz w:val="24"/>
          <w:szCs w:val="24"/>
        </w:rPr>
      </w:pPr>
      <w:bookmarkStart w:id="20" w:name="_Toc1351"/>
      <w:bookmarkStart w:id="21" w:name="_Toc9014"/>
      <w:bookmarkStart w:id="22" w:name="_Toc26870"/>
      <w:r>
        <w:rPr>
          <w:rFonts w:hint="eastAsia" w:hAnsi="宋体" w:cs="宋体"/>
          <w:b/>
          <w:color w:val="000000"/>
          <w:sz w:val="24"/>
          <w:szCs w:val="24"/>
        </w:rPr>
        <w:t>3.递交响应文件时间：</w:t>
      </w:r>
      <w:bookmarkEnd w:id="20"/>
      <w:bookmarkEnd w:id="21"/>
      <w:bookmarkEnd w:id="22"/>
    </w:p>
    <w:p>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pPr>
        <w:pStyle w:val="5"/>
        <w:ind w:left="680"/>
        <w:rPr>
          <w:color w:val="000000"/>
        </w:rPr>
      </w:pPr>
    </w:p>
    <w:p>
      <w:pPr>
        <w:spacing w:line="440" w:lineRule="exact"/>
        <w:ind w:firstLine="480" w:firstLineChars="200"/>
        <w:outlineLvl w:val="0"/>
        <w:rPr>
          <w:rFonts w:hAnsi="宋体" w:cs="宋体"/>
          <w:b/>
          <w:color w:val="000000"/>
          <w:sz w:val="24"/>
          <w:szCs w:val="24"/>
        </w:rPr>
      </w:pPr>
      <w:bookmarkStart w:id="23" w:name="_Toc21551"/>
      <w:bookmarkStart w:id="24" w:name="_Toc18526"/>
      <w:bookmarkStart w:id="25" w:name="_Toc32355"/>
      <w:r>
        <w:rPr>
          <w:rFonts w:hint="eastAsia" w:hAnsi="宋体" w:cs="宋体"/>
          <w:b/>
          <w:color w:val="000000"/>
          <w:sz w:val="24"/>
          <w:szCs w:val="24"/>
        </w:rPr>
        <w:t>4.竞争性磋商地点：</w:t>
      </w:r>
      <w:bookmarkEnd w:id="23"/>
      <w:bookmarkEnd w:id="24"/>
      <w:bookmarkEnd w:id="25"/>
    </w:p>
    <w:p>
      <w:pPr>
        <w:pStyle w:val="11"/>
        <w:spacing w:line="440" w:lineRule="exact"/>
        <w:ind w:firstLine="480" w:firstLineChars="200"/>
        <w:rPr>
          <w:rFonts w:hAnsi="宋体"/>
          <w:color w:val="000000"/>
          <w:sz w:val="24"/>
        </w:rPr>
      </w:pPr>
      <w:r>
        <w:rPr>
          <w:rFonts w:hint="eastAsia" w:hAnsi="宋体"/>
          <w:color w:val="000000"/>
          <w:sz w:val="24"/>
        </w:rPr>
        <w:t>贵</w:t>
      </w:r>
      <w:r>
        <w:rPr>
          <w:rFonts w:hint="eastAsia" w:hAnsi="宋体"/>
          <w:color w:val="000000"/>
          <w:sz w:val="24"/>
          <w:lang w:val="en-US" w:eastAsia="zh-CN"/>
        </w:rPr>
        <w:t>州金泰利粮油发展有限公司</w:t>
      </w:r>
      <w:r>
        <w:rPr>
          <w:rFonts w:hint="eastAsia" w:hAnsi="宋体"/>
          <w:color w:val="000000"/>
          <w:sz w:val="24"/>
        </w:rPr>
        <w:t>会议室</w:t>
      </w:r>
    </w:p>
    <w:p>
      <w:pPr>
        <w:pStyle w:val="11"/>
        <w:spacing w:line="440" w:lineRule="exact"/>
        <w:ind w:firstLine="480" w:firstLineChars="200"/>
        <w:rPr>
          <w:rFonts w:hAnsi="宋体"/>
          <w:color w:val="000000"/>
          <w:sz w:val="24"/>
        </w:rPr>
      </w:pPr>
      <w:r>
        <w:rPr>
          <w:rFonts w:hint="eastAsia" w:hAnsi="宋体"/>
          <w:color w:val="000000"/>
          <w:sz w:val="24"/>
        </w:rPr>
        <w:t>（贵阳市</w:t>
      </w:r>
      <w:r>
        <w:rPr>
          <w:rFonts w:hint="eastAsia" w:hAnsi="宋体"/>
          <w:color w:val="000000"/>
          <w:sz w:val="24"/>
          <w:lang w:val="en-US" w:eastAsia="zh-CN"/>
        </w:rPr>
        <w:t>白云区粑粑坳粮食仓库贵州金泰利粮油发展有限公司</w:t>
      </w:r>
      <w:r>
        <w:rPr>
          <w:rFonts w:hint="eastAsia" w:hAnsi="宋体"/>
          <w:color w:val="000000"/>
          <w:sz w:val="24"/>
        </w:rPr>
        <w:t>）</w:t>
      </w:r>
    </w:p>
    <w:p>
      <w:pPr>
        <w:pStyle w:val="11"/>
        <w:spacing w:line="440" w:lineRule="exact"/>
        <w:ind w:firstLine="480" w:firstLineChars="200"/>
        <w:rPr>
          <w:rFonts w:hAnsi="宋体"/>
          <w:color w:val="000000"/>
          <w:sz w:val="24"/>
        </w:rPr>
      </w:pPr>
    </w:p>
    <w:p>
      <w:pPr>
        <w:spacing w:line="440" w:lineRule="exact"/>
        <w:ind w:firstLine="480" w:firstLineChars="200"/>
        <w:outlineLvl w:val="0"/>
        <w:rPr>
          <w:rFonts w:hAnsi="宋体" w:cs="宋体"/>
          <w:b/>
          <w:color w:val="000000"/>
          <w:sz w:val="24"/>
          <w:szCs w:val="24"/>
        </w:rPr>
      </w:pPr>
      <w:bookmarkStart w:id="26" w:name="_Toc17992"/>
      <w:bookmarkStart w:id="27" w:name="_Toc26956"/>
      <w:bookmarkStart w:id="28" w:name="_Toc25620"/>
      <w:r>
        <w:rPr>
          <w:rFonts w:hint="eastAsia" w:hAnsi="宋体" w:cs="宋体"/>
          <w:b/>
          <w:color w:val="000000"/>
          <w:sz w:val="24"/>
          <w:szCs w:val="24"/>
        </w:rPr>
        <w:t>5.竞争性磋商文件解释权</w:t>
      </w:r>
      <w:bookmarkEnd w:id="26"/>
      <w:bookmarkEnd w:id="27"/>
      <w:bookmarkEnd w:id="28"/>
    </w:p>
    <w:p>
      <w:pPr>
        <w:spacing w:line="440" w:lineRule="exact"/>
        <w:ind w:firstLine="560"/>
        <w:rPr>
          <w:rFonts w:hAnsi="宋体" w:cs="宋体"/>
          <w:color w:val="000000"/>
          <w:sz w:val="24"/>
          <w:szCs w:val="24"/>
        </w:rPr>
      </w:pPr>
      <w:r>
        <w:rPr>
          <w:rFonts w:hint="eastAsia" w:hAnsi="宋体" w:cs="宋体"/>
          <w:color w:val="000000"/>
          <w:sz w:val="24"/>
          <w:szCs w:val="24"/>
        </w:rPr>
        <w:t>本项目竞争性磋商文件的最终解释权归采购人。</w:t>
      </w:r>
      <w:bookmarkEnd w:id="15"/>
      <w:bookmarkEnd w:id="16"/>
    </w:p>
    <w:p>
      <w:pPr>
        <w:spacing w:line="440" w:lineRule="exact"/>
        <w:ind w:firstLine="560"/>
        <w:rPr>
          <w:rFonts w:hAnsi="宋体" w:cs="宋体"/>
          <w:color w:val="000000"/>
          <w:sz w:val="24"/>
          <w:szCs w:val="24"/>
        </w:rPr>
      </w:pPr>
    </w:p>
    <w:p>
      <w:pPr>
        <w:rPr>
          <w:rFonts w:hAnsi="宋体" w:cs="宋体"/>
          <w:color w:val="000000"/>
          <w:sz w:val="24"/>
          <w:szCs w:val="24"/>
        </w:rPr>
      </w:pPr>
      <w:bookmarkStart w:id="29" w:name="_Toc406671678"/>
      <w:bookmarkStart w:id="30" w:name="_Toc406672383"/>
      <w:bookmarkStart w:id="31" w:name="_Toc406671088"/>
      <w:bookmarkStart w:id="32" w:name="_Toc406670717"/>
    </w:p>
    <w:p>
      <w:pPr>
        <w:rPr>
          <w:rFonts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color w:val="000000"/>
        </w:rPr>
      </w:pPr>
    </w:p>
    <w:p>
      <w:pPr>
        <w:rPr>
          <w:rFonts w:hAnsi="宋体" w:cs="宋体"/>
          <w:color w:val="000000"/>
          <w:sz w:val="24"/>
          <w:szCs w:val="24"/>
        </w:rPr>
      </w:pPr>
    </w:p>
    <w:p>
      <w:pPr>
        <w:rPr>
          <w:rFonts w:hAnsi="宋体" w:cs="宋体"/>
          <w:color w:val="000000"/>
          <w:sz w:val="24"/>
          <w:szCs w:val="24"/>
        </w:rPr>
      </w:pPr>
    </w:p>
    <w:p>
      <w:pPr>
        <w:rPr>
          <w:rFonts w:hAnsi="宋体" w:cs="宋体"/>
          <w:color w:val="000000"/>
          <w:sz w:val="24"/>
          <w:szCs w:val="24"/>
        </w:rPr>
      </w:pPr>
    </w:p>
    <w:p>
      <w:pPr>
        <w:rPr>
          <w:rFonts w:hAnsi="宋体" w:cs="宋体"/>
          <w:b/>
          <w:color w:val="000000"/>
          <w:sz w:val="24"/>
          <w:szCs w:val="24"/>
        </w:rPr>
      </w:pPr>
    </w:p>
    <w:p>
      <w:pPr>
        <w:pStyle w:val="4"/>
        <w:outlineLvl w:val="0"/>
        <w:rPr>
          <w:rFonts w:hAnsi="宋体" w:eastAsia="宋体" w:cs="宋体"/>
          <w:b/>
          <w:color w:val="000000"/>
          <w:sz w:val="24"/>
          <w:szCs w:val="24"/>
        </w:rPr>
      </w:pPr>
      <w:bookmarkStart w:id="33" w:name="_Toc32109"/>
      <w:bookmarkStart w:id="34" w:name="_Toc11536"/>
      <w:r>
        <w:rPr>
          <w:rFonts w:hint="eastAsia" w:hAnsi="宋体" w:eastAsia="宋体" w:cs="宋体"/>
          <w:b/>
          <w:color w:val="000000"/>
          <w:sz w:val="24"/>
          <w:szCs w:val="24"/>
        </w:rPr>
        <w:t>第二节  竞争性磋商相关资料表</w:t>
      </w:r>
      <w:bookmarkEnd w:id="29"/>
      <w:bookmarkEnd w:id="30"/>
      <w:bookmarkEnd w:id="31"/>
      <w:bookmarkEnd w:id="32"/>
      <w:bookmarkEnd w:id="33"/>
      <w:bookmarkEnd w:id="34"/>
    </w:p>
    <w:p>
      <w:pPr>
        <w:rPr>
          <w:rFonts w:hAnsi="宋体" w:cs="宋体"/>
          <w:color w:val="000000"/>
          <w:sz w:val="24"/>
          <w:szCs w:val="24"/>
        </w:rPr>
      </w:pPr>
    </w:p>
    <w:tbl>
      <w:tblPr>
        <w:tblStyle w:val="2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序号</w:t>
            </w:r>
          </w:p>
        </w:tc>
        <w:tc>
          <w:tcPr>
            <w:tcW w:w="1418" w:type="dxa"/>
            <w:vAlign w:val="center"/>
          </w:tcPr>
          <w:p>
            <w:pPr>
              <w:ind w:firstLine="240" w:firstLineChars="100"/>
              <w:rPr>
                <w:rFonts w:hAnsi="宋体" w:cs="宋体"/>
                <w:color w:val="000000"/>
                <w:sz w:val="24"/>
                <w:szCs w:val="24"/>
              </w:rPr>
            </w:pPr>
            <w:r>
              <w:rPr>
                <w:rFonts w:hint="eastAsia" w:hAnsi="宋体" w:cs="宋体"/>
                <w:color w:val="000000"/>
                <w:sz w:val="24"/>
                <w:szCs w:val="24"/>
              </w:rPr>
              <w:t>内  容</w:t>
            </w:r>
          </w:p>
        </w:tc>
        <w:tc>
          <w:tcPr>
            <w:tcW w:w="7052" w:type="dxa"/>
            <w:vAlign w:val="center"/>
          </w:tcPr>
          <w:p>
            <w:pPr>
              <w:jc w:val="center"/>
              <w:rPr>
                <w:rFonts w:hAnsi="宋体" w:cs="宋体"/>
                <w:color w:val="000000"/>
                <w:sz w:val="24"/>
                <w:szCs w:val="24"/>
              </w:rPr>
            </w:pPr>
            <w:r>
              <w:rPr>
                <w:rFonts w:hint="eastAsia" w:hAnsi="宋体" w:cs="宋体"/>
                <w:color w:val="000000"/>
                <w:sz w:val="24"/>
                <w:szCs w:val="24"/>
              </w:rPr>
              <w:t>说明与要求</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项目名称</w:t>
            </w:r>
          </w:p>
        </w:tc>
        <w:tc>
          <w:tcPr>
            <w:tcW w:w="7052" w:type="dxa"/>
            <w:vAlign w:val="center"/>
          </w:tcPr>
          <w:p>
            <w:pPr>
              <w:rPr>
                <w:rFonts w:hAnsi="宋体" w:cs="宋体"/>
                <w:color w:val="000000"/>
                <w:sz w:val="24"/>
                <w:szCs w:val="24"/>
              </w:rPr>
            </w:pPr>
            <w:r>
              <w:rPr>
                <w:rFonts w:hint="eastAsia" w:hAnsi="宋体" w:cs="宋体"/>
                <w:bCs/>
                <w:color w:val="000000"/>
                <w:sz w:val="24"/>
                <w:szCs w:val="24"/>
                <w:lang w:val="en-US" w:eastAsia="zh-CN"/>
              </w:rPr>
              <w:t>采购气相色谱—质谱仪</w:t>
            </w:r>
            <w:r>
              <w:rPr>
                <w:rFonts w:hint="eastAsia" w:hAnsi="宋体" w:cs="宋体"/>
                <w:bCs/>
                <w:color w:val="000000"/>
                <w:sz w:val="24"/>
                <w:szCs w:val="24"/>
              </w:rPr>
              <w:t>项目</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采购方式</w:t>
            </w:r>
          </w:p>
        </w:tc>
        <w:tc>
          <w:tcPr>
            <w:tcW w:w="7052" w:type="dxa"/>
            <w:vAlign w:val="center"/>
          </w:tcPr>
          <w:p>
            <w:pPr>
              <w:rPr>
                <w:rFonts w:hAnsi="宋体" w:cs="宋体"/>
                <w:color w:val="000000"/>
                <w:sz w:val="24"/>
                <w:szCs w:val="24"/>
              </w:rPr>
            </w:pPr>
            <w:r>
              <w:rPr>
                <w:rFonts w:hint="eastAsia" w:hAnsi="宋体" w:cs="宋体"/>
                <w:color w:val="000000"/>
                <w:sz w:val="24"/>
                <w:szCs w:val="24"/>
              </w:rPr>
              <w:t>竞争性磋商</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采购类别</w:t>
            </w:r>
          </w:p>
        </w:tc>
        <w:tc>
          <w:tcPr>
            <w:tcW w:w="7052" w:type="dxa"/>
            <w:vAlign w:val="center"/>
          </w:tcPr>
          <w:p>
            <w:pPr>
              <w:rPr>
                <w:rFonts w:hAnsi="宋体" w:cs="宋体"/>
                <w:color w:val="000000"/>
                <w:sz w:val="24"/>
                <w:szCs w:val="24"/>
              </w:rPr>
            </w:pPr>
            <w:r>
              <w:rPr>
                <w:rFonts w:hAnsi="宋体" w:cs="宋体"/>
                <w:color w:val="000000"/>
                <w:sz w:val="24"/>
                <w:szCs w:val="24"/>
              </w:rPr>
              <w:t>固定资产</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4</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预算</w:t>
            </w:r>
          </w:p>
        </w:tc>
        <w:tc>
          <w:tcPr>
            <w:tcW w:w="7052" w:type="dxa"/>
            <w:vAlign w:val="center"/>
          </w:tcPr>
          <w:p>
            <w:pPr>
              <w:rPr>
                <w:rFonts w:hAnsi="宋体" w:cs="宋体"/>
                <w:color w:val="000000"/>
                <w:sz w:val="24"/>
                <w:szCs w:val="24"/>
              </w:rPr>
            </w:pPr>
            <w:r>
              <w:rPr>
                <w:rFonts w:hint="eastAsia" w:hAnsi="宋体" w:cs="宋体"/>
                <w:color w:val="000000"/>
                <w:sz w:val="24"/>
                <w:szCs w:val="24"/>
              </w:rPr>
              <w:t>总预算为人民币</w:t>
            </w:r>
            <w:r>
              <w:rPr>
                <w:rFonts w:hint="eastAsia" w:hAnsi="宋体" w:cs="宋体"/>
                <w:color w:val="000000"/>
                <w:sz w:val="24"/>
                <w:szCs w:val="24"/>
                <w:lang w:val="en-US" w:eastAsia="zh-CN"/>
              </w:rPr>
              <w:t>57</w:t>
            </w:r>
            <w:r>
              <w:rPr>
                <w:rFonts w:hint="eastAsia" w:hAnsi="宋体" w:cs="宋体"/>
                <w:color w:val="000000"/>
                <w:sz w:val="24"/>
                <w:szCs w:val="24"/>
              </w:rPr>
              <w:t>万元。</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5</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资金来源</w:t>
            </w:r>
          </w:p>
        </w:tc>
        <w:tc>
          <w:tcPr>
            <w:tcW w:w="7052" w:type="dxa"/>
            <w:vAlign w:val="center"/>
          </w:tcPr>
          <w:p>
            <w:pPr>
              <w:rPr>
                <w:rFonts w:hAnsi="宋体" w:cs="宋体"/>
                <w:color w:val="000000"/>
                <w:sz w:val="24"/>
                <w:szCs w:val="24"/>
              </w:rPr>
            </w:pPr>
            <w:r>
              <w:rPr>
                <w:rFonts w:hint="eastAsia" w:hAnsi="宋体" w:cs="宋体"/>
                <w:color w:val="000000"/>
                <w:sz w:val="24"/>
                <w:szCs w:val="24"/>
              </w:rPr>
              <w:t>自筹资金</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6</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资格审查</w:t>
            </w:r>
          </w:p>
        </w:tc>
        <w:tc>
          <w:tcPr>
            <w:tcW w:w="7052" w:type="dxa"/>
            <w:vAlign w:val="center"/>
          </w:tcPr>
          <w:p>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本项目采用资格后审形式，资格性审查、符合性审查及无效标审查均委托竞争性磋商小组进行。</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7</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采购内容</w:t>
            </w:r>
          </w:p>
        </w:tc>
        <w:tc>
          <w:tcPr>
            <w:tcW w:w="7052" w:type="dxa"/>
            <w:vAlign w:val="center"/>
          </w:tcPr>
          <w:p>
            <w:pPr>
              <w:rPr>
                <w:rFonts w:hAnsi="宋体" w:cs="宋体"/>
                <w:color w:val="000000"/>
                <w:sz w:val="24"/>
                <w:szCs w:val="24"/>
              </w:rPr>
            </w:pPr>
            <w:r>
              <w:rPr>
                <w:rFonts w:hint="eastAsia" w:hAnsi="宋体" w:cs="宋体"/>
                <w:color w:val="000000"/>
                <w:sz w:val="24"/>
                <w:szCs w:val="24"/>
              </w:rPr>
              <w:t>详见本文件第二章</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8</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供应商</w:t>
            </w:r>
          </w:p>
          <w:p>
            <w:pPr>
              <w:jc w:val="center"/>
              <w:rPr>
                <w:rFonts w:hAnsi="宋体" w:cs="宋体"/>
                <w:color w:val="000000"/>
                <w:sz w:val="24"/>
                <w:szCs w:val="24"/>
              </w:rPr>
            </w:pPr>
            <w:r>
              <w:rPr>
                <w:rFonts w:hint="eastAsia" w:hAnsi="宋体" w:cs="宋体"/>
                <w:color w:val="000000"/>
                <w:sz w:val="24"/>
                <w:szCs w:val="24"/>
              </w:rPr>
              <w:t>资格要求</w:t>
            </w:r>
          </w:p>
        </w:tc>
        <w:tc>
          <w:tcPr>
            <w:tcW w:w="7052" w:type="dxa"/>
            <w:vAlign w:val="center"/>
          </w:tcPr>
          <w:p>
            <w:pPr>
              <w:rPr>
                <w:rFonts w:hAnsi="宋体" w:cs="宋体"/>
                <w:bCs/>
                <w:color w:val="000000"/>
                <w:sz w:val="24"/>
                <w:szCs w:val="24"/>
              </w:rPr>
            </w:pPr>
            <w:r>
              <w:rPr>
                <w:rFonts w:hint="eastAsia" w:hAnsi="宋体" w:cs="宋体"/>
                <w:bCs/>
                <w:color w:val="000000"/>
                <w:sz w:val="24"/>
                <w:szCs w:val="24"/>
              </w:rPr>
              <w:t>1.参照政府采购法第二十二条规定，提供以下资料：</w:t>
            </w:r>
          </w:p>
          <w:p>
            <w:pPr>
              <w:rPr>
                <w:rFonts w:hAnsi="宋体" w:cs="宋体"/>
                <w:bCs/>
                <w:color w:val="000000"/>
                <w:sz w:val="24"/>
                <w:szCs w:val="24"/>
              </w:rPr>
            </w:pPr>
            <w:r>
              <w:rPr>
                <w:rFonts w:hint="eastAsia" w:hAnsi="宋体" w:cs="宋体"/>
                <w:bCs/>
                <w:color w:val="000000"/>
                <w:sz w:val="24"/>
                <w:szCs w:val="24"/>
              </w:rPr>
              <w:t>（1）法人或者其他组织的营业执照等证明文件；</w:t>
            </w:r>
          </w:p>
          <w:p>
            <w:pPr>
              <w:rPr>
                <w:rFonts w:hAnsi="宋体" w:cs="宋体"/>
                <w:bCs/>
                <w:color w:val="000000"/>
                <w:sz w:val="24"/>
                <w:szCs w:val="24"/>
              </w:rPr>
            </w:pPr>
            <w:r>
              <w:rPr>
                <w:rFonts w:hint="eastAsia" w:hAnsi="宋体" w:cs="宋体"/>
                <w:bCs/>
                <w:color w:val="000000"/>
                <w:sz w:val="24"/>
                <w:szCs w:val="24"/>
              </w:rPr>
              <w:t>（2）财务状况报告，依法缴纳税收和社会保障资金的相关材料；</w:t>
            </w:r>
          </w:p>
          <w:p>
            <w:pPr>
              <w:rPr>
                <w:rFonts w:hAnsi="宋体" w:cs="宋体"/>
                <w:bCs/>
                <w:color w:val="000000"/>
                <w:sz w:val="24"/>
                <w:szCs w:val="24"/>
              </w:rPr>
            </w:pPr>
            <w:r>
              <w:rPr>
                <w:rFonts w:hint="eastAsia" w:hAnsi="宋体" w:cs="宋体"/>
                <w:bCs/>
                <w:color w:val="000000"/>
                <w:sz w:val="24"/>
                <w:szCs w:val="24"/>
              </w:rPr>
              <w:t>（3）具备履行合同所必需的设备和专业技术能力的证明材料；</w:t>
            </w:r>
          </w:p>
          <w:p>
            <w:pPr>
              <w:rPr>
                <w:rFonts w:hAnsi="宋体" w:cs="宋体"/>
                <w:bCs/>
                <w:color w:val="000000"/>
                <w:sz w:val="24"/>
                <w:szCs w:val="24"/>
              </w:rPr>
            </w:pPr>
            <w:r>
              <w:rPr>
                <w:rFonts w:hint="eastAsia" w:hAnsi="宋体" w:cs="宋体"/>
                <w:bCs/>
                <w:color w:val="000000"/>
                <w:sz w:val="24"/>
                <w:szCs w:val="24"/>
              </w:rPr>
              <w:t>（4）参加采购活动前3年内在经营活动中没有重大违法记录的书面声明；</w:t>
            </w:r>
          </w:p>
          <w:p>
            <w:pPr>
              <w:rPr>
                <w:rFonts w:hAnsi="宋体" w:cs="宋体"/>
                <w:bCs/>
                <w:color w:val="000000"/>
                <w:sz w:val="24"/>
                <w:szCs w:val="24"/>
              </w:rPr>
            </w:pPr>
            <w:r>
              <w:rPr>
                <w:rFonts w:hint="eastAsia" w:hAnsi="宋体" w:cs="宋体"/>
                <w:bCs/>
                <w:color w:val="000000"/>
                <w:sz w:val="24"/>
                <w:szCs w:val="24"/>
              </w:rPr>
              <w:t>（5）具备法律、行政法规规定的其他条件的证明材料</w:t>
            </w:r>
          </w:p>
          <w:p>
            <w:pPr>
              <w:rPr>
                <w:rFonts w:hAnsi="宋体" w:cs="宋体"/>
                <w:bCs/>
                <w:color w:val="000000"/>
                <w:sz w:val="24"/>
                <w:szCs w:val="24"/>
              </w:rPr>
            </w:pPr>
            <w:r>
              <w:rPr>
                <w:rFonts w:hint="eastAsia" w:hAnsi="宋体" w:cs="宋体"/>
                <w:bCs/>
                <w:color w:val="000000"/>
                <w:sz w:val="24"/>
                <w:szCs w:val="24"/>
              </w:rPr>
              <w:t>2.本项目</w:t>
            </w:r>
            <w:r>
              <w:rPr>
                <w:rFonts w:hint="eastAsia" w:hAnsi="宋体" w:cs="宋体"/>
                <w:bCs/>
                <w:color w:val="000000"/>
                <w:sz w:val="24"/>
                <w:szCs w:val="24"/>
                <w:u w:val="single"/>
              </w:rPr>
              <w:t>不接受</w:t>
            </w:r>
            <w:r>
              <w:rPr>
                <w:rFonts w:hint="eastAsia" w:hAnsi="宋体" w:cs="宋体"/>
                <w:bCs/>
                <w:color w:val="000000"/>
                <w:sz w:val="24"/>
                <w:szCs w:val="24"/>
              </w:rPr>
              <w:t>联合体竞争性磋商</w:t>
            </w:r>
          </w:p>
          <w:p>
            <w:pPr>
              <w:rPr>
                <w:rFonts w:hAnsi="宋体" w:cs="宋体"/>
                <w:bCs/>
                <w:color w:val="000000"/>
                <w:sz w:val="24"/>
                <w:szCs w:val="24"/>
              </w:rPr>
            </w:pPr>
            <w:r>
              <w:rPr>
                <w:rFonts w:hint="eastAsia" w:hAnsi="宋体" w:cs="宋体"/>
                <w:bCs/>
                <w:color w:val="000000"/>
                <w:sz w:val="24"/>
                <w:szCs w:val="24"/>
              </w:rPr>
              <w:t>3.本项目</w:t>
            </w:r>
            <w:r>
              <w:rPr>
                <w:rFonts w:hint="eastAsia" w:hAnsi="宋体" w:cs="宋体"/>
                <w:bCs/>
                <w:color w:val="000000"/>
                <w:sz w:val="24"/>
                <w:szCs w:val="24"/>
                <w:u w:val="single"/>
              </w:rPr>
              <w:t>不接受</w:t>
            </w:r>
            <w:r>
              <w:rPr>
                <w:rFonts w:hint="eastAsia" w:hAnsi="宋体" w:cs="宋体"/>
                <w:bCs/>
                <w:color w:val="000000"/>
                <w:sz w:val="24"/>
                <w:szCs w:val="24"/>
              </w:rPr>
              <w:t>分公司竞争性磋商。</w:t>
            </w:r>
          </w:p>
          <w:p>
            <w:pPr>
              <w:rPr>
                <w:rFonts w:hAnsi="宋体" w:cs="宋体"/>
                <w:b/>
                <w:color w:val="000000"/>
                <w:sz w:val="24"/>
                <w:szCs w:val="24"/>
              </w:rPr>
            </w:pPr>
            <w:r>
              <w:rPr>
                <w:rFonts w:hint="eastAsia" w:hAnsi="宋体" w:cs="宋体"/>
                <w:bCs/>
                <w:color w:val="000000"/>
                <w:sz w:val="24"/>
                <w:szCs w:val="24"/>
              </w:rPr>
              <w:t>（</w:t>
            </w:r>
            <w:r>
              <w:rPr>
                <w:rFonts w:hint="eastAsia" w:hAnsi="宋体" w:cs="宋体"/>
                <w:b/>
                <w:bCs/>
                <w:color w:val="000000"/>
                <w:sz w:val="24"/>
                <w:szCs w:val="24"/>
              </w:rPr>
              <w:t>以上所需提交的具体资料详见初步审查表</w:t>
            </w:r>
            <w:r>
              <w:rPr>
                <w:rFonts w:hint="eastAsia" w:hAnsi="宋体" w:cs="宋体"/>
                <w:bCs/>
                <w:color w:val="000000"/>
                <w:sz w:val="24"/>
                <w:szCs w:val="24"/>
              </w:rPr>
              <w:t>）</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9</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竞争性磋商澄清会</w:t>
            </w:r>
          </w:p>
        </w:tc>
        <w:tc>
          <w:tcPr>
            <w:tcW w:w="7052" w:type="dxa"/>
            <w:vAlign w:val="center"/>
          </w:tcPr>
          <w:p>
            <w:pPr>
              <w:rPr>
                <w:rFonts w:hAnsi="宋体" w:cs="宋体"/>
                <w:color w:val="000000"/>
                <w:sz w:val="24"/>
                <w:szCs w:val="24"/>
              </w:rPr>
            </w:pPr>
            <w:r>
              <w:rPr>
                <w:rFonts w:hint="eastAsia" w:hAnsi="宋体" w:cs="宋体"/>
                <w:color w:val="000000"/>
                <w:sz w:val="24"/>
                <w:szCs w:val="24"/>
              </w:rPr>
              <w:t xml:space="preserve">不召开     </w:t>
            </w:r>
          </w:p>
        </w:tc>
      </w:tr>
      <w:tr>
        <w:trPr>
          <w:trHeight w:val="329"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10</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竞争性磋商有效期</w:t>
            </w:r>
          </w:p>
        </w:tc>
        <w:tc>
          <w:tcPr>
            <w:tcW w:w="7052" w:type="dxa"/>
            <w:vAlign w:val="center"/>
          </w:tcPr>
          <w:p>
            <w:pPr>
              <w:rPr>
                <w:rFonts w:hAnsi="宋体" w:cs="宋体"/>
                <w:color w:val="000000"/>
                <w:sz w:val="24"/>
                <w:szCs w:val="24"/>
              </w:rPr>
            </w:pPr>
            <w:r>
              <w:rPr>
                <w:rFonts w:hint="eastAsia" w:hAnsi="宋体" w:cs="宋体"/>
                <w:color w:val="000000"/>
                <w:sz w:val="24"/>
                <w:szCs w:val="24"/>
              </w:rPr>
              <w:t>竞争性磋商有效期为本竞争性磋商自竞争性磋商之日起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评审标准</w:t>
            </w:r>
          </w:p>
          <w:p>
            <w:pPr>
              <w:jc w:val="center"/>
              <w:rPr>
                <w:rFonts w:hAnsi="宋体" w:cs="宋体"/>
                <w:color w:val="000000"/>
                <w:sz w:val="24"/>
                <w:szCs w:val="24"/>
              </w:rPr>
            </w:pPr>
            <w:r>
              <w:rPr>
                <w:rFonts w:hint="eastAsia" w:hAnsi="宋体" w:cs="宋体"/>
                <w:color w:val="000000"/>
                <w:sz w:val="24"/>
                <w:szCs w:val="24"/>
              </w:rPr>
              <w:t>及方法</w:t>
            </w:r>
          </w:p>
        </w:tc>
        <w:tc>
          <w:tcPr>
            <w:tcW w:w="7052" w:type="dxa"/>
            <w:vAlign w:val="center"/>
          </w:tcPr>
          <w:p>
            <w:pPr>
              <w:rPr>
                <w:rFonts w:hAnsi="宋体" w:cs="宋体"/>
                <w:color w:val="000000"/>
                <w:sz w:val="24"/>
                <w:szCs w:val="24"/>
              </w:rPr>
            </w:pPr>
            <w:r>
              <w:rPr>
                <w:rFonts w:hint="eastAsia" w:hAnsi="宋体" w:cs="宋体"/>
                <w:color w:val="000000"/>
                <w:sz w:val="24"/>
                <w:szCs w:val="24"/>
              </w:rPr>
              <w:t>详见第三章评审办法</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合格的服务</w:t>
            </w:r>
          </w:p>
        </w:tc>
        <w:tc>
          <w:tcPr>
            <w:tcW w:w="7052" w:type="dxa"/>
            <w:vAlign w:val="center"/>
          </w:tcPr>
          <w:p>
            <w:pPr>
              <w:ind w:left="269" w:hanging="268" w:hangingChars="112"/>
              <w:rPr>
                <w:rFonts w:hAnsi="宋体" w:cs="宋体"/>
                <w:bCs/>
                <w:color w:val="000000"/>
                <w:sz w:val="24"/>
                <w:szCs w:val="24"/>
              </w:rPr>
            </w:pPr>
            <w:r>
              <w:rPr>
                <w:rFonts w:hint="eastAsia" w:hAnsi="宋体" w:cs="宋体"/>
                <w:bCs/>
                <w:color w:val="000000"/>
                <w:sz w:val="24"/>
                <w:szCs w:val="24"/>
              </w:rPr>
              <w:t>合格的服务</w:t>
            </w:r>
          </w:p>
          <w:p>
            <w:pPr>
              <w:ind w:left="269" w:hanging="268" w:hangingChars="112"/>
              <w:rPr>
                <w:rFonts w:hAnsi="宋体" w:cs="宋体"/>
                <w:snapToGrid w:val="0"/>
                <w:color w:val="000000"/>
                <w:spacing w:val="8"/>
                <w:sz w:val="24"/>
                <w:szCs w:val="24"/>
              </w:rPr>
            </w:pPr>
            <w:r>
              <w:rPr>
                <w:rFonts w:hint="eastAsia" w:hAnsi="宋体" w:cs="宋体"/>
                <w:color w:val="000000"/>
                <w:sz w:val="24"/>
                <w:szCs w:val="24"/>
              </w:rPr>
              <w:t>服务须满足竞争性磋商文件的相关要求，并符合国家相关标准。</w:t>
            </w:r>
          </w:p>
        </w:tc>
      </w:tr>
      <w:tr>
        <w:trPr>
          <w:trHeight w:val="90"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评审、成交原则</w:t>
            </w:r>
          </w:p>
        </w:tc>
        <w:tc>
          <w:tcPr>
            <w:tcW w:w="7052" w:type="dxa"/>
            <w:vAlign w:val="center"/>
          </w:tcPr>
          <w:p>
            <w:pPr>
              <w:rPr>
                <w:rFonts w:hAnsi="宋体" w:cs="宋体"/>
                <w:iCs/>
                <w:color w:val="000000"/>
                <w:sz w:val="24"/>
                <w:szCs w:val="24"/>
              </w:rPr>
            </w:pPr>
            <w:r>
              <w:rPr>
                <w:rFonts w:hint="eastAsia" w:hAnsi="宋体" w:cs="宋体"/>
                <w:iCs/>
                <w:color w:val="000000"/>
                <w:sz w:val="24"/>
                <w:szCs w:val="24"/>
              </w:rPr>
              <w:t>1.确定成交人及成交原则：</w:t>
            </w:r>
          </w:p>
          <w:p>
            <w:pPr>
              <w:rPr>
                <w:rFonts w:hAnsi="宋体" w:cs="宋体"/>
                <w:iCs/>
                <w:color w:val="000000"/>
                <w:sz w:val="24"/>
                <w:szCs w:val="24"/>
              </w:rPr>
            </w:pPr>
            <w:r>
              <w:rPr>
                <w:rFonts w:hint="eastAsia" w:hAnsi="宋体" w:cs="宋体"/>
                <w:iCs/>
                <w:color w:val="000000"/>
                <w:sz w:val="24"/>
                <w:szCs w:val="24"/>
              </w:rPr>
              <w:t>参照政府采购竞争性竞争性磋商采购方式管理暂行办法及其相关规定，采购人可授权竞争性磋商小组在推荐成交候选人名单中直接确定排序第一名的供应商为成交供应商。</w:t>
            </w:r>
          </w:p>
          <w:p>
            <w:pPr>
              <w:rPr>
                <w:rFonts w:hAnsi="宋体" w:cs="宋体"/>
                <w:iCs/>
                <w:color w:val="000000"/>
                <w:sz w:val="24"/>
                <w:szCs w:val="24"/>
              </w:rPr>
            </w:pPr>
            <w:r>
              <w:rPr>
                <w:rFonts w:hint="eastAsia" w:hAnsi="宋体" w:cs="宋体"/>
                <w:iCs/>
                <w:color w:val="000000"/>
                <w:sz w:val="24"/>
                <w:szCs w:val="24"/>
              </w:rPr>
              <w:t>2.签约原则：</w:t>
            </w:r>
          </w:p>
          <w:p>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pPr>
              <w:rPr>
                <w:rFonts w:hAnsi="宋体" w:cs="宋体"/>
                <w:iCs/>
                <w:color w:val="000000"/>
                <w:sz w:val="24"/>
                <w:szCs w:val="24"/>
              </w:rPr>
            </w:pPr>
            <w:r>
              <w:rPr>
                <w:rFonts w:hint="eastAsia" w:hAnsi="宋体" w:cs="宋体"/>
                <w:iCs/>
                <w:color w:val="000000"/>
                <w:sz w:val="24"/>
                <w:szCs w:val="24"/>
              </w:rPr>
              <w:t>3.签约期内成交人不能履行合同的调整规则：</w:t>
            </w:r>
          </w:p>
          <w:p>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（1）成交人放弃成交。</w:t>
            </w:r>
          </w:p>
          <w:p>
            <w:pPr>
              <w:rPr>
                <w:rFonts w:hAnsi="宋体" w:cs="宋体"/>
                <w:iCs/>
                <w:color w:val="000000"/>
                <w:sz w:val="24"/>
                <w:szCs w:val="24"/>
              </w:rPr>
            </w:pPr>
            <w:r>
              <w:rPr>
                <w:rFonts w:hint="eastAsia" w:hAnsi="宋体" w:cs="宋体"/>
                <w:iCs/>
                <w:color w:val="000000"/>
                <w:sz w:val="24"/>
                <w:szCs w:val="24"/>
              </w:rPr>
              <w:t>（2）成交人因发生了不可抗力不能履行合同。</w:t>
            </w:r>
          </w:p>
          <w:p>
            <w:pPr>
              <w:rPr>
                <w:rFonts w:hAnsi="宋体" w:cs="宋体"/>
                <w:iCs/>
                <w:color w:val="000000"/>
                <w:sz w:val="24"/>
                <w:szCs w:val="24"/>
              </w:rPr>
            </w:pPr>
            <w:r>
              <w:rPr>
                <w:rFonts w:hint="eastAsia" w:hAnsi="宋体" w:cs="宋体"/>
                <w:iCs/>
                <w:color w:val="000000"/>
                <w:sz w:val="24"/>
                <w:szCs w:val="24"/>
              </w:rPr>
              <w:t>（</w:t>
            </w:r>
            <w:r>
              <w:rPr>
                <w:rFonts w:hint="eastAsia" w:hAnsi="宋体" w:cs="宋体"/>
                <w:iCs/>
                <w:color w:val="000000"/>
                <w:sz w:val="24"/>
                <w:szCs w:val="24"/>
                <w:lang w:val="en-US" w:eastAsia="zh-CN"/>
              </w:rPr>
              <w:t>3</w:t>
            </w:r>
            <w:r>
              <w:rPr>
                <w:rFonts w:hint="eastAsia" w:hAnsi="宋体" w:cs="宋体"/>
                <w:iCs/>
                <w:color w:val="000000"/>
                <w:sz w:val="24"/>
                <w:szCs w:val="24"/>
              </w:rPr>
              <w:t>）成交人被查实存在影响成交结果的违法行为。</w:t>
            </w:r>
          </w:p>
          <w:p>
            <w:pPr>
              <w:rPr>
                <w:rFonts w:hAnsi="宋体" w:cs="宋体"/>
                <w:iCs/>
                <w:color w:val="000000"/>
                <w:sz w:val="24"/>
                <w:szCs w:val="24"/>
              </w:rPr>
            </w:pPr>
            <w:r>
              <w:rPr>
                <w:rFonts w:hint="eastAsia" w:hAnsi="宋体" w:cs="宋体"/>
                <w:iCs/>
                <w:color w:val="000000"/>
                <w:sz w:val="24"/>
                <w:szCs w:val="24"/>
              </w:rPr>
              <w:t>4、签约期后成交人不能履行合同的调整规则：</w:t>
            </w:r>
          </w:p>
          <w:p>
            <w:pPr>
              <w:rPr>
                <w:rFonts w:hAnsi="宋体" w:cs="宋体"/>
                <w:iCs/>
                <w:color w:val="000000"/>
                <w:sz w:val="24"/>
                <w:szCs w:val="24"/>
              </w:rPr>
            </w:pPr>
            <w:r>
              <w:rPr>
                <w:rFonts w:hint="eastAsia" w:hAnsi="宋体" w:cs="宋体"/>
                <w:iCs/>
                <w:color w:val="000000"/>
                <w:sz w:val="24"/>
                <w:szCs w:val="24"/>
              </w:rPr>
              <w:t>签约期后，成交人不能履行合同的，采购人与成交人解除合同，同时采购人可根据评审结果依次确定下一推荐成交候选人为成交人，也可以重新进行采购活动。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5.成交人不能履行合同判定标准：</w:t>
            </w:r>
          </w:p>
          <w:p>
            <w:pPr>
              <w:rPr>
                <w:rFonts w:hAnsi="宋体" w:cs="宋体"/>
                <w:iCs/>
                <w:color w:val="000000"/>
                <w:sz w:val="24"/>
                <w:szCs w:val="24"/>
              </w:rPr>
            </w:pPr>
            <w:r>
              <w:rPr>
                <w:rFonts w:hint="eastAsia" w:hAnsi="宋体" w:cs="宋体"/>
                <w:iCs/>
                <w:color w:val="000000"/>
                <w:sz w:val="24"/>
                <w:szCs w:val="24"/>
              </w:rPr>
              <w:t>如发生以下情形，采购人有权解除或终止合同,乙方还应赔偿采购人造成的全部经济损失。</w:t>
            </w:r>
          </w:p>
          <w:p>
            <w:pPr>
              <w:rPr>
                <w:rFonts w:hAnsi="宋体" w:cs="宋体"/>
                <w:iCs/>
                <w:color w:val="000000"/>
                <w:sz w:val="24"/>
                <w:szCs w:val="24"/>
              </w:rPr>
            </w:pPr>
            <w:r>
              <w:rPr>
                <w:rFonts w:hint="eastAsia" w:hAnsi="宋体" w:cs="宋体"/>
                <w:iCs/>
                <w:color w:val="000000"/>
                <w:sz w:val="24"/>
                <w:szCs w:val="24"/>
              </w:rPr>
              <w:t>a.乙方将服务违法分包或转包的。</w:t>
            </w:r>
          </w:p>
          <w:p>
            <w:pPr>
              <w:rPr>
                <w:rFonts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pPr>
              <w:rPr>
                <w:rFonts w:hAnsi="宋体" w:cs="宋体"/>
                <w:iCs/>
                <w:color w:val="000000"/>
                <w:sz w:val="24"/>
                <w:szCs w:val="24"/>
              </w:rPr>
            </w:pPr>
            <w:r>
              <w:rPr>
                <w:rFonts w:hint="eastAsia" w:hAnsi="宋体" w:cs="宋体"/>
                <w:iCs/>
                <w:color w:val="000000"/>
                <w:sz w:val="24"/>
                <w:szCs w:val="24"/>
              </w:rPr>
              <w:t>c.服务质量初验不合格，在采购人要求的合理时间内整改后仍不合格的。</w:t>
            </w:r>
          </w:p>
          <w:p>
            <w:pPr>
              <w:rPr>
                <w:rFonts w:hAnsi="宋体" w:cs="宋体"/>
                <w:iCs/>
                <w:color w:val="000000"/>
                <w:sz w:val="24"/>
                <w:szCs w:val="24"/>
              </w:rPr>
            </w:pPr>
            <w:r>
              <w:rPr>
                <w:rFonts w:hint="eastAsia" w:hAnsi="宋体" w:cs="宋体"/>
                <w:iCs/>
                <w:color w:val="000000"/>
                <w:sz w:val="24"/>
                <w:szCs w:val="24"/>
              </w:rPr>
              <w:t>d.履约过程中因乙方原因发生重伤、死亡等人身安全事故。</w:t>
            </w:r>
          </w:p>
          <w:p>
            <w:pPr>
              <w:rPr>
                <w:rFonts w:hAnsi="宋体" w:cs="宋体"/>
                <w:color w:val="000000"/>
                <w:sz w:val="24"/>
                <w:szCs w:val="24"/>
              </w:rPr>
            </w:pPr>
            <w:r>
              <w:rPr>
                <w:rFonts w:hint="eastAsia" w:hAnsi="宋体" w:cs="宋体"/>
                <w:iCs/>
                <w:color w:val="000000"/>
                <w:sz w:val="24"/>
                <w:szCs w:val="24"/>
              </w:rPr>
              <w:t>e.双方约定的服务工期延期20%以上的。</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14</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其他</w:t>
            </w:r>
          </w:p>
        </w:tc>
        <w:tc>
          <w:tcPr>
            <w:tcW w:w="7052" w:type="dxa"/>
            <w:vAlign w:val="center"/>
          </w:tcPr>
          <w:p>
            <w:pPr>
              <w:rPr>
                <w:rFonts w:hAnsi="宋体" w:cs="宋体"/>
                <w:b/>
                <w:color w:val="000000"/>
                <w:sz w:val="24"/>
                <w:szCs w:val="24"/>
              </w:rPr>
            </w:pPr>
            <w:r>
              <w:rPr>
                <w:rFonts w:hint="eastAsia" w:hAnsi="宋体" w:cs="宋体"/>
                <w:b/>
                <w:color w:val="000000"/>
                <w:sz w:val="24"/>
                <w:szCs w:val="24"/>
              </w:rPr>
              <w:t>其它：</w:t>
            </w:r>
          </w:p>
          <w:p>
            <w:pPr>
              <w:rPr>
                <w:rFonts w:hAnsi="宋体" w:cs="宋体"/>
                <w:bCs/>
                <w:color w:val="000000"/>
                <w:sz w:val="24"/>
                <w:szCs w:val="24"/>
              </w:rPr>
            </w:pPr>
            <w:r>
              <w:rPr>
                <w:rFonts w:hint="eastAsia" w:hAnsi="宋体" w:cs="宋体"/>
                <w:bCs/>
                <w:color w:val="000000"/>
                <w:sz w:val="24"/>
                <w:szCs w:val="24"/>
              </w:rPr>
              <w:t>1.供应商（亦称 “供方”）</w:t>
            </w:r>
          </w:p>
          <w:p>
            <w:pPr>
              <w:rPr>
                <w:rFonts w:hAnsi="宋体" w:cs="宋体"/>
                <w:bCs/>
                <w:color w:val="000000"/>
                <w:sz w:val="24"/>
                <w:szCs w:val="24"/>
              </w:rPr>
            </w:pPr>
            <w:r>
              <w:rPr>
                <w:rFonts w:hint="eastAsia" w:hAnsi="宋体" w:cs="宋体"/>
                <w:bCs/>
                <w:color w:val="000000"/>
                <w:sz w:val="24"/>
                <w:szCs w:val="24"/>
              </w:rPr>
              <w:t>2.响应文件（亦称“竞争性磋商文件”、“报价书”或“报价文件”）</w:t>
            </w:r>
          </w:p>
          <w:p>
            <w:pPr>
              <w:rPr>
                <w:rFonts w:hAnsi="宋体" w:cs="宋体"/>
                <w:bCs/>
                <w:color w:val="000000"/>
                <w:sz w:val="24"/>
                <w:szCs w:val="24"/>
              </w:rPr>
            </w:pPr>
            <w:r>
              <w:rPr>
                <w:rFonts w:hint="eastAsia" w:hAnsi="宋体" w:cs="宋体"/>
                <w:bCs/>
                <w:color w:val="000000"/>
                <w:sz w:val="24"/>
                <w:szCs w:val="24"/>
              </w:rPr>
              <w:t>3.竞争性磋商文件（亦称“竞争性磋商磋商文件”）</w:t>
            </w:r>
          </w:p>
          <w:p>
            <w:pPr>
              <w:rPr>
                <w:rFonts w:hAnsi="宋体" w:cs="宋体"/>
                <w:bCs/>
                <w:color w:val="000000"/>
                <w:sz w:val="24"/>
                <w:szCs w:val="24"/>
              </w:rPr>
            </w:pPr>
            <w:r>
              <w:rPr>
                <w:rFonts w:hint="eastAsia" w:hAnsi="宋体" w:cs="宋体"/>
                <w:bCs/>
                <w:color w:val="000000"/>
                <w:sz w:val="24"/>
                <w:szCs w:val="24"/>
              </w:rPr>
              <w:t>4.文件中所要求电子文档介质可为光盘或U盘等。</w:t>
            </w:r>
          </w:p>
          <w:p>
            <w:pPr>
              <w:rPr>
                <w:rFonts w:hAnsi="宋体" w:cs="宋体"/>
                <w:color w:val="000000"/>
                <w:sz w:val="24"/>
                <w:szCs w:val="24"/>
              </w:rPr>
            </w:pPr>
            <w:r>
              <w:rPr>
                <w:rFonts w:hint="eastAsia" w:hAnsi="宋体" w:cs="宋体"/>
                <w:b/>
                <w:color w:val="000000"/>
                <w:sz w:val="24"/>
                <w:szCs w:val="24"/>
              </w:rPr>
              <w:t>5. 供应商如响应</w:t>
            </w:r>
            <w:r>
              <w:rPr>
                <w:rFonts w:hint="eastAsia" w:hAnsi="宋体" w:cs="宋体"/>
                <w:b/>
                <w:bCs/>
                <w:color w:val="000000"/>
                <w:sz w:val="24"/>
                <w:szCs w:val="24"/>
              </w:rPr>
              <w:t>竞争性磋商</w:t>
            </w:r>
            <w:r>
              <w:rPr>
                <w:rFonts w:hint="eastAsia" w:hAnsi="宋体" w:cs="宋体"/>
                <w:b/>
                <w:color w:val="000000"/>
                <w:sz w:val="24"/>
                <w:szCs w:val="24"/>
              </w:rPr>
              <w:t>文件并参加竞争性磋商则视为对本</w:t>
            </w:r>
            <w:r>
              <w:rPr>
                <w:rFonts w:hint="eastAsia" w:hAnsi="宋体" w:cs="宋体"/>
                <w:b/>
                <w:bCs/>
                <w:color w:val="000000"/>
                <w:sz w:val="24"/>
                <w:szCs w:val="24"/>
              </w:rPr>
              <w:t>竞争性磋商</w:t>
            </w:r>
            <w:r>
              <w:rPr>
                <w:rFonts w:hint="eastAsia" w:hAnsi="宋体" w:cs="宋体"/>
                <w:b/>
                <w:color w:val="000000"/>
                <w:sz w:val="24"/>
                <w:szCs w:val="24"/>
              </w:rPr>
              <w:t>文件内容的完全响应，并理解本项目为参照采购相关制度实施的采购活动。</w:t>
            </w:r>
          </w:p>
        </w:tc>
      </w:tr>
    </w:tbl>
    <w:p>
      <w:pPr>
        <w:pStyle w:val="5"/>
        <w:ind w:left="680"/>
        <w:rPr>
          <w:color w:val="000000"/>
        </w:rPr>
      </w:pPr>
    </w:p>
    <w:p>
      <w:pPr>
        <w:keepNext/>
        <w:keepLines/>
        <w:widowControl w:val="0"/>
        <w:jc w:val="center"/>
        <w:outlineLvl w:val="9"/>
        <w:rPr>
          <w:rFonts w:ascii="宋体" w:hAnsi="宋体" w:eastAsia="宋体" w:cs="宋体"/>
          <w:b/>
          <w:bCs/>
          <w:color w:val="000000"/>
          <w:sz w:val="28"/>
          <w:szCs w:val="28"/>
          <w:lang w:val="en-US" w:eastAsia="zh-CN" w:bidi="ar-SA"/>
        </w:rPr>
      </w:pPr>
    </w:p>
    <w:p>
      <w:pPr>
        <w:keepNext/>
        <w:keepLines/>
        <w:widowControl w:val="0"/>
        <w:jc w:val="center"/>
        <w:outlineLvl w:val="9"/>
        <w:rPr>
          <w:rFonts w:ascii="宋体" w:hAnsi="宋体" w:eastAsia="宋体" w:cs="宋体"/>
          <w:b/>
          <w:bCs/>
          <w:color w:val="000000"/>
          <w:sz w:val="28"/>
          <w:szCs w:val="28"/>
          <w:lang w:val="en-US" w:eastAsia="zh-CN" w:bidi="ar-SA"/>
        </w:rPr>
      </w:pPr>
    </w:p>
    <w:p>
      <w:pPr>
        <w:rPr>
          <w:color w:val="000000"/>
        </w:rPr>
      </w:pPr>
    </w:p>
    <w:p>
      <w:pPr>
        <w:pStyle w:val="5"/>
        <w:ind w:left="680"/>
        <w:rPr>
          <w:color w:val="000000"/>
        </w:rPr>
      </w:pPr>
    </w:p>
    <w:p>
      <w:pPr>
        <w:rPr>
          <w:color w:val="000000"/>
        </w:rPr>
      </w:pPr>
    </w:p>
    <w:p>
      <w:pPr>
        <w:pStyle w:val="5"/>
        <w:ind w:left="680"/>
        <w:rPr>
          <w:color w:val="000000"/>
        </w:rPr>
      </w:pPr>
    </w:p>
    <w:p>
      <w:pPr>
        <w:rPr>
          <w:color w:val="000000"/>
        </w:rPr>
      </w:pPr>
    </w:p>
    <w:p>
      <w:pPr>
        <w:pStyle w:val="8"/>
        <w:ind w:left="680"/>
        <w:rPr>
          <w:color w:val="000000"/>
        </w:rPr>
      </w:pPr>
    </w:p>
    <w:p>
      <w:pPr>
        <w:pStyle w:val="9"/>
        <w:rPr>
          <w:color w:val="000000"/>
        </w:rPr>
      </w:pPr>
    </w:p>
    <w:p>
      <w:pPr>
        <w:pStyle w:val="9"/>
        <w:rPr>
          <w:color w:val="000000"/>
        </w:rPr>
      </w:pPr>
    </w:p>
    <w:p>
      <w:pPr>
        <w:pStyle w:val="9"/>
        <w:rPr>
          <w:color w:val="000000"/>
        </w:rPr>
      </w:pPr>
    </w:p>
    <w:p>
      <w:pPr>
        <w:pStyle w:val="5"/>
        <w:ind w:left="680"/>
        <w:rPr>
          <w:rFonts w:ascii="宋体" w:hAnsi="宋体" w:cs="宋体"/>
          <w:b/>
          <w:color w:val="000000"/>
          <w:sz w:val="28"/>
          <w:szCs w:val="28"/>
        </w:rPr>
      </w:pPr>
    </w:p>
    <w:p>
      <w:pPr>
        <w:jc w:val="center"/>
        <w:outlineLvl w:val="0"/>
        <w:rPr>
          <w:rFonts w:hAnsi="宋体" w:cs="宋体"/>
          <w:b/>
          <w:color w:val="000000"/>
          <w:sz w:val="28"/>
          <w:szCs w:val="28"/>
        </w:rPr>
      </w:pPr>
      <w:bookmarkStart w:id="35" w:name="_Toc29188"/>
      <w:r>
        <w:rPr>
          <w:rFonts w:hint="eastAsia" w:hAnsi="宋体" w:cs="宋体"/>
          <w:b/>
          <w:color w:val="000000"/>
          <w:sz w:val="28"/>
          <w:szCs w:val="28"/>
        </w:rPr>
        <w:t>第三节  须知</w:t>
      </w:r>
      <w:bookmarkEnd w:id="35"/>
    </w:p>
    <w:p>
      <w:pPr>
        <w:spacing w:line="360" w:lineRule="auto"/>
        <w:rPr>
          <w:rFonts w:hAnsi="宋体" w:cs="宋体"/>
          <w:b/>
          <w:color w:val="000000"/>
          <w:sz w:val="30"/>
          <w:szCs w:val="30"/>
        </w:rPr>
      </w:pPr>
    </w:p>
    <w:p>
      <w:pPr>
        <w:spacing w:line="360" w:lineRule="auto"/>
        <w:ind w:firstLine="300" w:firstLineChars="100"/>
        <w:jc w:val="center"/>
        <w:outlineLvl w:val="0"/>
        <w:rPr>
          <w:rFonts w:hAnsi="宋体" w:cs="宋体"/>
          <w:b/>
          <w:color w:val="000000"/>
          <w:sz w:val="30"/>
          <w:szCs w:val="30"/>
        </w:rPr>
      </w:pPr>
      <w:bookmarkStart w:id="36" w:name="_Toc30"/>
      <w:bookmarkStart w:id="37" w:name="_Toc16019"/>
      <w:r>
        <w:rPr>
          <w:rFonts w:hint="eastAsia" w:hAnsi="宋体" w:cs="宋体"/>
          <w:b/>
          <w:color w:val="000000"/>
          <w:sz w:val="30"/>
          <w:szCs w:val="30"/>
        </w:rPr>
        <w:t>响应文件编制要求</w:t>
      </w:r>
      <w:bookmarkEnd w:id="36"/>
      <w:bookmarkEnd w:id="37"/>
    </w:p>
    <w:p>
      <w:pPr>
        <w:spacing w:line="440" w:lineRule="exact"/>
        <w:rPr>
          <w:rFonts w:hAnsi="宋体" w:cs="宋体"/>
          <w:color w:val="000000"/>
          <w:sz w:val="24"/>
          <w:szCs w:val="24"/>
        </w:rPr>
      </w:pPr>
      <w:r>
        <w:rPr>
          <w:rFonts w:hint="eastAsia" w:hAnsi="宋体" w:cs="宋体"/>
          <w:color w:val="000000"/>
          <w:sz w:val="24"/>
          <w:szCs w:val="24"/>
        </w:rPr>
        <w:t>一、格式</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磋商小组可以要求供应商提供附有公证书的中文翻译文件或者与原版文件签章相一致的中文翻译文件。对于未附有中文译本和中文译本不准确引起的对供应商的不利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2.响应文件中所使用的计量单位，除竞争性磋商文件有要求的外，均使用国家法定计量单位。</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3.响应文件中的图片资料、复印件等应清晰可见，内容不得倒置、歪斜。由于响应文件不清晰或不利于阅读所造成的后果，由供应商自行负责。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4.除法定代表人或法人授权代表</w:t>
      </w:r>
      <w:r>
        <w:rPr>
          <w:rFonts w:hint="eastAsia" w:hAnsi="宋体" w:cs="宋体"/>
          <w:b/>
          <w:bCs/>
          <w:color w:val="000000"/>
          <w:sz w:val="24"/>
          <w:szCs w:val="24"/>
        </w:rPr>
        <w:t>签字、页码、响应文件包封封面</w:t>
      </w:r>
      <w:r>
        <w:rPr>
          <w:rFonts w:hint="eastAsia" w:hAnsi="宋体" w:cs="宋体"/>
          <w:color w:val="000000"/>
          <w:sz w:val="24"/>
          <w:szCs w:val="24"/>
        </w:rPr>
        <w:t>可以手写外，其余所有响应文件内容须采用打印字体，</w:t>
      </w:r>
      <w:r>
        <w:rPr>
          <w:rFonts w:hint="eastAsia" w:hAnsi="宋体" w:cs="宋体"/>
          <w:b/>
          <w:bCs/>
          <w:color w:val="000000"/>
          <w:sz w:val="24"/>
          <w:szCs w:val="24"/>
        </w:rPr>
        <w:t>禁止手写，手写内容评审委员会不予认同，响应文件作无效标处理。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5.响应文件原则上应按竞争性磋商文件提供的响应文件格式范本填写，竞争性磋商文件中未提供格式范本的，由供应商自行编制。如格式出现不适用情形，可做适当修改。</w:t>
      </w:r>
    </w:p>
    <w:p>
      <w:pPr>
        <w:spacing w:line="440" w:lineRule="exact"/>
        <w:rPr>
          <w:rFonts w:hAnsi="宋体" w:cs="宋体"/>
          <w:color w:val="000000"/>
          <w:sz w:val="24"/>
          <w:szCs w:val="24"/>
        </w:rPr>
      </w:pPr>
      <w:r>
        <w:rPr>
          <w:rFonts w:hint="eastAsia" w:hAnsi="宋体" w:cs="宋体"/>
          <w:color w:val="000000"/>
          <w:sz w:val="24"/>
          <w:szCs w:val="24"/>
        </w:rPr>
        <w:t>二、装订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1.响应文件须按所投</w:t>
      </w:r>
      <w:r>
        <w:rPr>
          <w:rFonts w:hint="eastAsia" w:hAnsi="宋体" w:cs="宋体"/>
          <w:bCs/>
          <w:color w:val="000000"/>
          <w:sz w:val="24"/>
          <w:szCs w:val="24"/>
        </w:rPr>
        <w:t>项目</w:t>
      </w:r>
      <w:r>
        <w:rPr>
          <w:rFonts w:hint="eastAsia" w:hAnsi="宋体" w:cs="宋体"/>
          <w:color w:val="000000"/>
          <w:sz w:val="24"/>
          <w:szCs w:val="24"/>
        </w:rPr>
        <w:t>单独胶装成册，并在封面注明所投项目名称。不得采用活页、打孔等方式装订。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2.不推荐使用豪华装订，建议平装。但由于响应文件打印不清晰或不利于阅读所造成的后果，由供应商自行负责。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须用A4纸打印，按照竞争性磋商文件规定，统一编目、编页码装订。超过A4幅，应以相应幅面打印，应折叠为A4幅大小后装订，竞争性磋商文件有提供图册等其它要求的除外。由于编排混乱导致响应文件被误读或无法查找，由供应商自行承担责任。</w:t>
      </w:r>
    </w:p>
    <w:p>
      <w:pPr>
        <w:spacing w:line="440" w:lineRule="exact"/>
        <w:rPr>
          <w:rFonts w:hAnsi="宋体" w:cs="宋体"/>
          <w:color w:val="000000"/>
          <w:sz w:val="24"/>
          <w:szCs w:val="24"/>
        </w:rPr>
      </w:pPr>
      <w:r>
        <w:rPr>
          <w:rFonts w:hint="eastAsia" w:hAnsi="宋体" w:cs="宋体"/>
          <w:color w:val="000000"/>
          <w:sz w:val="24"/>
          <w:szCs w:val="24"/>
        </w:rPr>
        <w:t>三、递交要求</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响应文件包含：</w:t>
      </w:r>
      <w:r>
        <w:rPr>
          <w:rFonts w:hint="eastAsia" w:hAnsi="宋体" w:cs="宋体"/>
          <w:b/>
          <w:bCs/>
          <w:color w:val="000000"/>
          <w:sz w:val="24"/>
          <w:szCs w:val="24"/>
        </w:rPr>
        <w:t>正本</w:t>
      </w:r>
      <w:r>
        <w:rPr>
          <w:rFonts w:hint="eastAsia" w:hAnsi="宋体" w:cs="宋体"/>
          <w:b/>
          <w:bCs/>
          <w:color w:val="000000"/>
          <w:sz w:val="24"/>
          <w:szCs w:val="24"/>
          <w:u w:val="single"/>
        </w:rPr>
        <w:t xml:space="preserve"> </w:t>
      </w:r>
      <w:r>
        <w:rPr>
          <w:rFonts w:hint="eastAsia" w:hAnsi="宋体" w:cs="宋体"/>
          <w:b/>
          <w:bCs/>
          <w:color w:val="000000"/>
          <w:sz w:val="24"/>
          <w:szCs w:val="24"/>
          <w:u w:val="single"/>
          <w:lang w:val="en-US" w:eastAsia="zh-CN"/>
        </w:rPr>
        <w:t>壹</w:t>
      </w:r>
      <w:r>
        <w:rPr>
          <w:rFonts w:hint="eastAsia" w:hAnsi="宋体" w:cs="宋体"/>
          <w:b/>
          <w:bCs/>
          <w:color w:val="000000"/>
          <w:sz w:val="24"/>
          <w:szCs w:val="24"/>
          <w:u w:val="single"/>
        </w:rPr>
        <w:t xml:space="preserve"> </w:t>
      </w:r>
      <w:r>
        <w:rPr>
          <w:rFonts w:hint="eastAsia" w:hAnsi="宋体" w:cs="宋体"/>
          <w:b/>
          <w:bCs/>
          <w:color w:val="000000"/>
          <w:sz w:val="24"/>
          <w:szCs w:val="24"/>
        </w:rPr>
        <w:t>份、副本</w:t>
      </w:r>
      <w:r>
        <w:rPr>
          <w:rFonts w:hint="eastAsia" w:hAnsi="宋体" w:cs="宋体"/>
          <w:b/>
          <w:bCs/>
          <w:color w:val="000000"/>
          <w:sz w:val="24"/>
          <w:szCs w:val="24"/>
          <w:u w:val="single"/>
        </w:rPr>
        <w:t xml:space="preserve"> </w:t>
      </w:r>
      <w:r>
        <w:rPr>
          <w:rFonts w:hint="eastAsia" w:hAnsi="宋体" w:cs="宋体"/>
          <w:b/>
          <w:bCs/>
          <w:color w:val="000000"/>
          <w:sz w:val="24"/>
          <w:szCs w:val="24"/>
          <w:u w:val="single"/>
          <w:lang w:val="en-US" w:eastAsia="zh-CN"/>
        </w:rPr>
        <w:t xml:space="preserve">壹 </w:t>
      </w:r>
      <w:r>
        <w:rPr>
          <w:rFonts w:hint="eastAsia" w:hAnsi="宋体" w:cs="宋体"/>
          <w:b/>
          <w:bCs/>
          <w:color w:val="000000"/>
          <w:sz w:val="24"/>
          <w:szCs w:val="24"/>
        </w:rPr>
        <w:t>份</w:t>
      </w:r>
      <w:r>
        <w:rPr>
          <w:rFonts w:hint="eastAsia" w:hAnsi="宋体" w:cs="宋体"/>
          <w:color w:val="000000"/>
          <w:sz w:val="24"/>
          <w:szCs w:val="24"/>
        </w:rPr>
        <w:t>。</w:t>
      </w:r>
      <w:r>
        <w:rPr>
          <w:rFonts w:hint="eastAsia" w:hAnsi="宋体" w:cs="宋体"/>
          <w:b/>
          <w:bCs/>
          <w:color w:val="000000"/>
          <w:sz w:val="24"/>
          <w:szCs w:val="24"/>
        </w:rPr>
        <w:t>递交响应文件不完整的按无效标处理。</w:t>
      </w:r>
    </w:p>
    <w:p>
      <w:pPr>
        <w:spacing w:line="440" w:lineRule="exact"/>
        <w:rPr>
          <w:rFonts w:hAnsi="宋体" w:cs="宋体"/>
          <w:color w:val="000000"/>
          <w:sz w:val="24"/>
          <w:szCs w:val="24"/>
        </w:rPr>
      </w:pPr>
      <w:r>
        <w:rPr>
          <w:rFonts w:hint="eastAsia" w:hAnsi="宋体" w:cs="宋体"/>
          <w:color w:val="000000"/>
          <w:sz w:val="24"/>
          <w:szCs w:val="24"/>
        </w:rPr>
        <w:t>四、签署与封装</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1.响应文件封面上须注明“正本”或“副本”字样。若正本与副本不符，以正本为准。</w:t>
      </w:r>
      <w:r>
        <w:rPr>
          <w:rFonts w:hint="eastAsia" w:hAnsi="宋体" w:cs="宋体"/>
          <w:b/>
          <w:color w:val="000000"/>
          <w:sz w:val="24"/>
          <w:szCs w:val="24"/>
        </w:rPr>
        <w:t>响应文件中正、副本均需加盖封面章和骑缝章且正本</w:t>
      </w:r>
      <w:r>
        <w:rPr>
          <w:rFonts w:hint="eastAsia" w:hAnsi="宋体" w:cs="宋体"/>
          <w:b/>
          <w:bCs/>
          <w:color w:val="000000"/>
          <w:sz w:val="24"/>
          <w:szCs w:val="24"/>
        </w:rPr>
        <w:t>每一页均需加盖供应商公章</w:t>
      </w:r>
      <w:r>
        <w:rPr>
          <w:rFonts w:hint="eastAsia" w:hAnsi="宋体" w:cs="宋体"/>
          <w:color w:val="000000"/>
          <w:sz w:val="24"/>
          <w:szCs w:val="24"/>
        </w:rPr>
        <w:t>。响应文件范本中注明需要签章的地方，供应商均须进行签章。</w:t>
      </w:r>
      <w:r>
        <w:rPr>
          <w:rFonts w:hint="eastAsia" w:hAnsi="宋体" w:cs="宋体"/>
          <w:b/>
          <w:bCs/>
          <w:color w:val="000000"/>
          <w:sz w:val="24"/>
          <w:szCs w:val="24"/>
        </w:rPr>
        <w:t>未按要求盖章及签章的均按无实质性响应竞争性磋商文件处理。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2.响应文件装入密封袋内，密封完整，封口（接口）处加盖响应单位公章。封装袋上注明项目名称、供应商名称</w:t>
      </w:r>
      <w:r>
        <w:rPr>
          <w:rFonts w:hint="eastAsia" w:hAnsi="宋体" w:cs="宋体"/>
          <w:i/>
          <w:color w:val="000000"/>
          <w:sz w:val="24"/>
          <w:szCs w:val="24"/>
        </w:rPr>
        <w:t>（或有品目号）</w:t>
      </w:r>
      <w:r>
        <w:rPr>
          <w:rFonts w:hint="eastAsia" w:hAnsi="宋体" w:cs="宋体"/>
          <w:color w:val="000000"/>
          <w:sz w:val="24"/>
          <w:szCs w:val="24"/>
        </w:rPr>
        <w:t>的字样。未按规定密封的响应文件不予接收。</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4.外包封上有重复或多余标记，未对响应文件实质性响应产生影响的，不作无效标依据。</w:t>
      </w:r>
    </w:p>
    <w:p>
      <w:pPr>
        <w:spacing w:line="440" w:lineRule="exact"/>
        <w:ind w:firstLine="480" w:firstLineChars="200"/>
        <w:rPr>
          <w:rFonts w:hAnsi="宋体" w:cs="宋体"/>
          <w:color w:val="000000"/>
        </w:rPr>
      </w:pPr>
      <w:r>
        <w:rPr>
          <w:rFonts w:hint="eastAsia" w:hAnsi="宋体" w:cs="宋体"/>
          <w:color w:val="000000"/>
          <w:sz w:val="24"/>
          <w:szCs w:val="24"/>
        </w:rPr>
        <w:t>5.供应商对外包封有异议的，应在递交文件现场当场提出，未当场提出异议，视为确认此程序无疑问。</w:t>
      </w:r>
      <w:r>
        <w:rPr>
          <w:rFonts w:hint="eastAsia" w:hAnsi="宋体" w:cs="宋体"/>
          <w:color w:val="000000"/>
          <w:sz w:val="24"/>
          <w:szCs w:val="24"/>
        </w:rPr>
        <w:br w:type="page"/>
      </w:r>
    </w:p>
    <w:p>
      <w:pPr>
        <w:pStyle w:val="3"/>
        <w:spacing w:line="440" w:lineRule="exact"/>
        <w:jc w:val="center"/>
        <w:outlineLvl w:val="0"/>
        <w:rPr>
          <w:color w:val="000000"/>
        </w:rPr>
      </w:pPr>
      <w:bookmarkStart w:id="38" w:name="_Toc26429"/>
      <w:bookmarkStart w:id="39" w:name="_Toc9315"/>
      <w:r>
        <w:rPr>
          <w:rFonts w:hint="eastAsia" w:ascii="宋体" w:hAnsi="宋体" w:eastAsia="宋体" w:cs="宋体"/>
          <w:color w:val="000000"/>
          <w:szCs w:val="28"/>
        </w:rPr>
        <w:t>第二章　采购内容及要求</w:t>
      </w:r>
      <w:bookmarkEnd w:id="38"/>
      <w:bookmarkEnd w:id="39"/>
    </w:p>
    <w:p>
      <w:pPr>
        <w:pStyle w:val="3"/>
        <w:jc w:val="center"/>
        <w:outlineLvl w:val="0"/>
        <w:rPr>
          <w:rFonts w:ascii="宋体" w:hAnsi="宋体" w:eastAsia="宋体" w:cs="宋体"/>
          <w:color w:val="000000"/>
          <w:sz w:val="28"/>
          <w:szCs w:val="28"/>
        </w:rPr>
      </w:pPr>
      <w:bookmarkStart w:id="40" w:name="_Toc22583"/>
      <w:bookmarkStart w:id="41" w:name="_Toc21831"/>
      <w:r>
        <w:rPr>
          <w:rFonts w:hint="eastAsia" w:ascii="宋体" w:hAnsi="宋体" w:eastAsia="宋体" w:cs="宋体"/>
          <w:color w:val="000000"/>
          <w:sz w:val="28"/>
          <w:szCs w:val="28"/>
        </w:rPr>
        <w:t>第一节  采购内容及要求</w:t>
      </w:r>
      <w:bookmarkEnd w:id="40"/>
      <w:bookmarkEnd w:id="41"/>
    </w:p>
    <w:p>
      <w:pPr>
        <w:pStyle w:val="8"/>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rPr>
      </w:pPr>
      <w:bookmarkStart w:id="42" w:name="_Toc130715890"/>
      <w:r>
        <w:rPr>
          <w:rFonts w:hint="eastAsia" w:hAnsi="宋体"/>
          <w:b/>
          <w:bCs/>
          <w:color w:val="000000"/>
          <w:sz w:val="24"/>
        </w:rPr>
        <w:t>一、项目概况</w:t>
      </w:r>
      <w:r>
        <w:rPr>
          <w:rFonts w:hint="eastAsia" w:hAnsi="宋体"/>
          <w:b/>
          <w:bCs/>
          <w:color w:val="000000"/>
          <w:sz w:val="24"/>
        </w:rPr>
        <w:tab/>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Ansi="宋体" w:cs="宋体"/>
          <w:color w:val="000000"/>
          <w:spacing w:val="8"/>
          <w:sz w:val="24"/>
        </w:rPr>
      </w:pPr>
      <w:r>
        <w:rPr>
          <w:rFonts w:hint="eastAsia" w:hAnsi="宋体"/>
          <w:b/>
          <w:bCs/>
          <w:color w:val="000000"/>
          <w:sz w:val="24"/>
        </w:rPr>
        <w:t xml:space="preserve">1. </w:t>
      </w:r>
      <w:r>
        <w:rPr>
          <w:rFonts w:hAnsi="宋体" w:cs="宋体"/>
          <w:b/>
          <w:bCs/>
          <w:color w:val="000000"/>
          <w:sz w:val="24"/>
        </w:rPr>
        <w:t>项目名称</w:t>
      </w:r>
      <w:r>
        <w:rPr>
          <w:rFonts w:hint="eastAsia" w:hAnsi="宋体" w:cs="宋体"/>
          <w:b/>
          <w:bCs/>
          <w:color w:val="000000"/>
          <w:sz w:val="24"/>
        </w:rPr>
        <w:t>：</w:t>
      </w:r>
      <w:r>
        <w:rPr>
          <w:rFonts w:hint="eastAsia" w:hAnsi="宋体"/>
          <w:color w:val="000000"/>
          <w:sz w:val="24"/>
          <w:lang w:val="en-US" w:eastAsia="zh-CN"/>
        </w:rPr>
        <w:t>采购气相色谱-质谱仪</w:t>
      </w:r>
      <w:r>
        <w:rPr>
          <w:rFonts w:hint="eastAsia" w:hAnsi="宋体"/>
          <w:color w:val="000000"/>
          <w:sz w:val="24"/>
        </w:rPr>
        <w:t>项目</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rPr>
      </w:pPr>
      <w:r>
        <w:rPr>
          <w:rFonts w:hint="eastAsia" w:hAnsi="宋体"/>
          <w:b/>
          <w:bCs/>
          <w:color w:val="000000"/>
          <w:sz w:val="24"/>
        </w:rPr>
        <w:t>2. 采购人：</w:t>
      </w:r>
      <w:r>
        <w:rPr>
          <w:rFonts w:hint="eastAsia" w:hAnsi="宋体"/>
          <w:color w:val="000000"/>
          <w:sz w:val="24"/>
        </w:rPr>
        <w:t>贵</w:t>
      </w:r>
      <w:r>
        <w:rPr>
          <w:rFonts w:hint="eastAsia" w:hAnsi="宋体"/>
          <w:color w:val="000000"/>
          <w:sz w:val="24"/>
          <w:lang w:val="en-US" w:eastAsia="zh-CN"/>
        </w:rPr>
        <w:t>州金泰利粮油发展</w:t>
      </w:r>
      <w:r>
        <w:rPr>
          <w:rFonts w:hint="eastAsia" w:hAnsi="宋体"/>
          <w:color w:val="000000"/>
          <w:sz w:val="24"/>
        </w:rPr>
        <w:t>有限公司</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rPr>
      </w:pPr>
      <w:r>
        <w:rPr>
          <w:rFonts w:hint="eastAsia" w:hAnsi="宋体"/>
          <w:b/>
          <w:bCs/>
          <w:color w:val="000000"/>
          <w:sz w:val="24"/>
        </w:rPr>
        <w:t>3. 服务要求：</w:t>
      </w:r>
      <w:r>
        <w:rPr>
          <w:rStyle w:val="30"/>
          <w:rFonts w:hint="eastAsia" w:ascii="宋体" w:hAnsi="宋体" w:cs="宋体"/>
          <w:color w:val="000000"/>
          <w:sz w:val="24"/>
          <w:szCs w:val="24"/>
        </w:rPr>
        <w:t>须按时按质按量到指定地点完成安装</w:t>
      </w:r>
      <w:r>
        <w:rPr>
          <w:rStyle w:val="30"/>
          <w:rFonts w:hint="eastAsia" w:ascii="宋体" w:hAnsi="宋体" w:cs="宋体"/>
          <w:color w:val="000000"/>
          <w:sz w:val="24"/>
          <w:szCs w:val="24"/>
          <w:lang w:eastAsia="zh-CN"/>
        </w:rPr>
        <w:t>、</w:t>
      </w:r>
      <w:r>
        <w:rPr>
          <w:rStyle w:val="30"/>
          <w:rFonts w:hint="eastAsia" w:ascii="宋体" w:hAnsi="宋体" w:cs="宋体"/>
          <w:color w:val="000000"/>
          <w:sz w:val="24"/>
          <w:szCs w:val="24"/>
        </w:rPr>
        <w:t>调试</w:t>
      </w:r>
      <w:r>
        <w:rPr>
          <w:rStyle w:val="30"/>
          <w:rFonts w:hint="eastAsia" w:ascii="宋体" w:hAnsi="宋体" w:cs="宋体"/>
          <w:color w:val="000000"/>
          <w:sz w:val="24"/>
          <w:szCs w:val="24"/>
          <w:lang w:val="en-US" w:eastAsia="zh-CN"/>
        </w:rPr>
        <w:t>及操作培训</w:t>
      </w:r>
      <w:r>
        <w:rPr>
          <w:rStyle w:val="30"/>
          <w:rFonts w:hint="eastAsia" w:ascii="宋体" w:hAnsi="宋体" w:cs="宋体"/>
          <w:color w:val="000000"/>
          <w:sz w:val="24"/>
          <w:szCs w:val="24"/>
        </w:rPr>
        <w:t>。</w:t>
      </w:r>
      <w:r>
        <w:rPr>
          <w:rStyle w:val="30"/>
          <w:rFonts w:hint="eastAsia" w:ascii="宋体" w:hAnsi="宋体" w:cs="宋体"/>
          <w:color w:val="000000"/>
          <w:sz w:val="24"/>
          <w:szCs w:val="24"/>
          <w:lang w:val="en-US" w:eastAsia="zh-CN"/>
        </w:rPr>
        <w:t>安装培训技术工1人及以上。</w:t>
      </w:r>
      <w:r>
        <w:rPr>
          <w:rStyle w:val="30"/>
          <w:rFonts w:hint="eastAsia" w:ascii="宋体" w:hAnsi="宋体" w:cs="宋体"/>
          <w:color w:val="000000"/>
          <w:sz w:val="24"/>
          <w:szCs w:val="24"/>
        </w:rPr>
        <w:t>服务商按</w:t>
      </w:r>
      <w:r>
        <w:rPr>
          <w:rStyle w:val="30"/>
          <w:rFonts w:hint="eastAsia" w:hAnsi="宋体" w:cs="宋体"/>
          <w:color w:val="000000"/>
          <w:sz w:val="24"/>
          <w:szCs w:val="24"/>
        </w:rPr>
        <w:t>采购人</w:t>
      </w:r>
      <w:r>
        <w:rPr>
          <w:rStyle w:val="30"/>
          <w:rFonts w:hint="eastAsia" w:ascii="宋体" w:hAnsi="宋体" w:cs="宋体"/>
          <w:color w:val="000000"/>
          <w:sz w:val="24"/>
          <w:szCs w:val="24"/>
        </w:rPr>
        <w:t>要求完成约定任务后，具体结算采购人在收到服务商提供的有效税务发票后</w:t>
      </w:r>
      <w:r>
        <w:rPr>
          <w:rStyle w:val="30"/>
          <w:rFonts w:hint="eastAsia" w:hAnsi="宋体" w:cs="宋体"/>
          <w:color w:val="000000"/>
          <w:sz w:val="24"/>
          <w:szCs w:val="24"/>
          <w:lang w:val="en-US" w:eastAsia="zh-CN"/>
        </w:rPr>
        <w:t>15</w:t>
      </w:r>
      <w:r>
        <w:rPr>
          <w:rStyle w:val="30"/>
          <w:rFonts w:hint="eastAsia" w:hAnsi="宋体" w:cs="宋体"/>
          <w:color w:val="000000"/>
          <w:sz w:val="24"/>
          <w:szCs w:val="24"/>
        </w:rPr>
        <w:t>个工作日内</w:t>
      </w:r>
      <w:r>
        <w:rPr>
          <w:rStyle w:val="30"/>
          <w:rFonts w:hint="eastAsia" w:ascii="宋体" w:hAnsi="宋体" w:cs="宋体"/>
          <w:color w:val="000000"/>
          <w:sz w:val="24"/>
          <w:szCs w:val="24"/>
        </w:rPr>
        <w:t>按合同价核实结算，结算方式按合同约定</w:t>
      </w:r>
      <w:r>
        <w:rPr>
          <w:rStyle w:val="30"/>
          <w:rFonts w:hint="eastAsia" w:ascii="宋体" w:hAnsi="宋体" w:cs="宋体"/>
          <w:color w:val="000000"/>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Style w:val="30"/>
          <w:rFonts w:hAnsi="宋体" w:cs="宋体"/>
          <w:color w:val="000000" w:themeColor="text1"/>
          <w:sz w:val="24"/>
          <w:szCs w:val="24"/>
          <w14:textFill>
            <w14:solidFill>
              <w14:schemeClr w14:val="tx1"/>
            </w14:solidFill>
          </w14:textFill>
        </w:rPr>
      </w:pPr>
      <w:r>
        <w:rPr>
          <w:rFonts w:hint="eastAsia" w:hAnsi="宋体"/>
          <w:b/>
          <w:bCs/>
          <w:color w:val="000000" w:themeColor="text1"/>
          <w:sz w:val="24"/>
          <w14:textFill>
            <w14:solidFill>
              <w14:schemeClr w14:val="tx1"/>
            </w14:solidFill>
          </w14:textFill>
        </w:rPr>
        <w:t xml:space="preserve">4. </w:t>
      </w:r>
      <w:r>
        <w:rPr>
          <w:rStyle w:val="30"/>
          <w:rFonts w:hint="eastAsia" w:ascii="宋体" w:hAnsi="宋体" w:cs="宋体"/>
          <w:b/>
          <w:bCs/>
          <w:color w:val="000000" w:themeColor="text1"/>
          <w:sz w:val="24"/>
          <w:szCs w:val="24"/>
          <w14:textFill>
            <w14:solidFill>
              <w14:schemeClr w14:val="tx1"/>
            </w14:solidFill>
          </w14:textFill>
        </w:rPr>
        <w:t>服务期限：</w:t>
      </w:r>
      <w:r>
        <w:rPr>
          <w:rStyle w:val="30"/>
          <w:rFonts w:hint="eastAsia" w:hAnsi="宋体" w:cs="宋体"/>
          <w:color w:val="000000" w:themeColor="text1"/>
          <w:sz w:val="24"/>
          <w:szCs w:val="24"/>
          <w14:textFill>
            <w14:solidFill>
              <w14:schemeClr w14:val="tx1"/>
            </w14:solidFill>
          </w14:textFill>
        </w:rPr>
        <w:t>20天，</w:t>
      </w:r>
      <w:r>
        <w:rPr>
          <w:rStyle w:val="30"/>
          <w:rFonts w:hint="eastAsia" w:ascii="宋体" w:hAnsi="宋体" w:cs="宋体"/>
          <w:color w:val="000000" w:themeColor="text1"/>
          <w:sz w:val="24"/>
          <w:szCs w:val="24"/>
          <w14:textFill>
            <w14:solidFill>
              <w14:schemeClr w14:val="tx1"/>
            </w14:solidFill>
          </w14:textFill>
        </w:rPr>
        <w:t>合同签订后</w:t>
      </w:r>
      <w:r>
        <w:rPr>
          <w:rStyle w:val="30"/>
          <w:rFonts w:hint="eastAsia" w:hAnsi="宋体" w:cs="宋体"/>
          <w:color w:val="000000" w:themeColor="text1"/>
          <w:sz w:val="24"/>
          <w:szCs w:val="24"/>
          <w14:textFill>
            <w14:solidFill>
              <w14:schemeClr w14:val="tx1"/>
            </w14:solidFill>
          </w14:textFill>
        </w:rPr>
        <w:t>至项目验收完成。</w:t>
      </w:r>
    </w:p>
    <w:p>
      <w:pPr>
        <w:pStyle w:val="20"/>
        <w:keepNext w:val="0"/>
        <w:keepLines w:val="0"/>
        <w:pageBreakBefore w:val="0"/>
        <w:kinsoku/>
        <w:wordWrap/>
        <w:overflowPunct/>
        <w:topLinePunct w:val="0"/>
        <w:autoSpaceDE/>
        <w:autoSpaceDN/>
        <w:bidi w:val="0"/>
        <w:adjustRightInd/>
        <w:snapToGrid/>
        <w:spacing w:line="440" w:lineRule="exact"/>
        <w:rPr>
          <w:rStyle w:val="30"/>
          <w:rFonts w:ascii="宋体" w:hAnsi="宋体" w:cs="宋体"/>
          <w:color w:val="000000"/>
          <w:sz w:val="24"/>
        </w:rPr>
      </w:pPr>
      <w:r>
        <w:rPr>
          <w:rStyle w:val="30"/>
          <w:rFonts w:hint="eastAsia" w:ascii="宋体" w:hAnsi="宋体" w:cs="宋体"/>
          <w:color w:val="000000"/>
          <w:sz w:val="24"/>
        </w:rPr>
        <w:t>验收标准：项目成果经甲方验收确认并交付相关文件，甲方出具验收单，表示项目验收完成。</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480" w:firstLineChars="200"/>
        <w:jc w:val="left"/>
        <w:rPr>
          <w:rFonts w:hint="eastAsia" w:hAnsi="宋体" w:cs="宋体"/>
          <w:color w:val="000000"/>
          <w:sz w:val="24"/>
        </w:rPr>
      </w:pPr>
      <w:r>
        <w:rPr>
          <w:rFonts w:hint="eastAsia" w:hAnsi="宋体"/>
          <w:b/>
          <w:bCs/>
          <w:color w:val="000000" w:themeColor="text1"/>
          <w:sz w:val="24"/>
          <w14:textFill>
            <w14:solidFill>
              <w14:schemeClr w14:val="tx1"/>
            </w14:solidFill>
          </w14:textFill>
        </w:rPr>
        <w:t>总体要求</w:t>
      </w:r>
      <w:bookmarkStart w:id="43" w:name="_Toc2783"/>
      <w:bookmarkStart w:id="44" w:name="_Toc10199"/>
      <w:bookmarkStart w:id="45" w:name="_Toc27372"/>
      <w:bookmarkStart w:id="46" w:name="_Toc2991"/>
      <w:bookmarkStart w:id="47" w:name="_Toc1205"/>
      <w:bookmarkStart w:id="48" w:name="_Toc27143"/>
      <w:bookmarkStart w:id="49" w:name="_Toc25244"/>
      <w:bookmarkStart w:id="50" w:name="_Toc1845"/>
      <w:bookmarkStart w:id="51" w:name="_Toc16487"/>
      <w:bookmarkStart w:id="52" w:name="_Toc12664"/>
      <w:bookmarkStart w:id="53" w:name="_Toc25928"/>
      <w:r>
        <w:rPr>
          <w:rFonts w:hint="eastAsia" w:hAnsi="宋体"/>
          <w:b/>
          <w:bCs/>
          <w:color w:val="000000" w:themeColor="text1"/>
          <w:sz w:val="24"/>
          <w14:textFill>
            <w14:solidFill>
              <w14:schemeClr w14:val="tx1"/>
            </w14:solidFill>
          </w14:textFill>
        </w:rPr>
        <w:t>：</w:t>
      </w:r>
      <w:bookmarkEnd w:id="43"/>
      <w:bookmarkEnd w:id="44"/>
      <w:bookmarkEnd w:id="45"/>
      <w:bookmarkEnd w:id="46"/>
      <w:bookmarkEnd w:id="47"/>
      <w:bookmarkEnd w:id="48"/>
      <w:bookmarkEnd w:id="49"/>
      <w:bookmarkEnd w:id="50"/>
      <w:bookmarkEnd w:id="51"/>
      <w:bookmarkEnd w:id="52"/>
      <w:bookmarkEnd w:id="53"/>
      <w:bookmarkStart w:id="54" w:name="_Toc406671682"/>
      <w:bookmarkStart w:id="55" w:name="_Toc406672387"/>
      <w:bookmarkStart w:id="56" w:name="_Toc406670723"/>
      <w:bookmarkStart w:id="57" w:name="_Toc406671094"/>
      <w:r>
        <w:rPr>
          <w:rFonts w:hint="eastAsia" w:hAnsi="宋体"/>
          <w:color w:val="000000"/>
          <w:sz w:val="24"/>
          <w:lang w:val="en-US" w:eastAsia="zh-CN"/>
        </w:rPr>
        <w:t>采购气相色谱-质谱仪</w:t>
      </w:r>
      <w:r>
        <w:rPr>
          <w:rFonts w:hint="eastAsia" w:hAnsi="宋体" w:cs="宋体"/>
          <w:bCs/>
          <w:snapToGrid w:val="0"/>
          <w:color w:val="000000"/>
          <w:sz w:val="24"/>
        </w:rPr>
        <w:t>项目</w:t>
      </w:r>
      <w:bookmarkEnd w:id="54"/>
      <w:bookmarkEnd w:id="55"/>
      <w:bookmarkEnd w:id="56"/>
      <w:bookmarkEnd w:id="57"/>
      <w:r>
        <w:rPr>
          <w:rFonts w:hint="eastAsia" w:hAnsi="宋体" w:cs="宋体"/>
          <w:bCs/>
          <w:snapToGrid w:val="0"/>
          <w:color w:val="000000"/>
          <w:sz w:val="24"/>
        </w:rPr>
        <w:t>（详见附件：</w:t>
      </w:r>
      <w:r>
        <w:rPr>
          <w:rFonts w:hint="eastAsia" w:hAnsi="宋体"/>
          <w:color w:val="000000"/>
          <w:sz w:val="24"/>
          <w:lang w:val="en-US" w:eastAsia="zh-CN"/>
        </w:rPr>
        <w:t>采购气相色谱-质谱仪</w:t>
      </w:r>
      <w:r>
        <w:rPr>
          <w:rFonts w:hint="eastAsia" w:hAnsi="宋体" w:cs="宋体"/>
          <w:bCs/>
          <w:snapToGrid w:val="0"/>
          <w:color w:val="000000"/>
          <w:sz w:val="24"/>
        </w:rPr>
        <w:t>项目清单</w:t>
      </w:r>
      <w:r>
        <w:rPr>
          <w:rFonts w:hint="eastAsia" w:hAnsi="宋体" w:cs="宋体"/>
          <w:bCs/>
          <w:snapToGrid w:val="0"/>
          <w:color w:val="000000"/>
          <w:sz w:val="24"/>
          <w:lang w:eastAsia="zh-CN"/>
        </w:rPr>
        <w:t>、</w:t>
      </w:r>
      <w:r>
        <w:rPr>
          <w:rFonts w:hint="eastAsia" w:hAnsi="宋体" w:cs="宋体"/>
          <w:bCs/>
          <w:snapToGrid w:val="0"/>
          <w:color w:val="000000"/>
          <w:sz w:val="24"/>
          <w:lang w:val="en-US" w:eastAsia="zh-CN"/>
        </w:rPr>
        <w:t>参数要求</w:t>
      </w:r>
      <w:r>
        <w:rPr>
          <w:rFonts w:hint="eastAsia" w:hAnsi="宋体" w:cs="宋体"/>
          <w:bCs/>
          <w:snapToGrid w:val="0"/>
          <w:color w:val="000000"/>
          <w:sz w:val="24"/>
        </w:rPr>
        <w:t>），</w:t>
      </w:r>
      <w:r>
        <w:rPr>
          <w:rFonts w:hint="eastAsia" w:hAnsi="宋体"/>
          <w:color w:val="000000"/>
          <w:sz w:val="24"/>
        </w:rPr>
        <w:t>最高报价限制：人民币</w:t>
      </w:r>
      <w:r>
        <w:rPr>
          <w:rFonts w:hint="eastAsia" w:hAnsi="宋体"/>
          <w:color w:val="000000"/>
          <w:sz w:val="24"/>
          <w:lang w:val="en-US" w:eastAsia="zh-CN"/>
        </w:rPr>
        <w:t>57</w:t>
      </w:r>
      <w:r>
        <w:rPr>
          <w:rFonts w:hint="eastAsia" w:hAnsi="宋体"/>
          <w:color w:val="000000"/>
          <w:sz w:val="24"/>
        </w:rPr>
        <w:t>万元（大写：</w:t>
      </w:r>
      <w:r>
        <w:rPr>
          <w:rFonts w:hint="eastAsia" w:hAnsi="宋体" w:cs="宋体"/>
          <w:color w:val="000000"/>
          <w:sz w:val="24"/>
          <w:lang w:val="en-US" w:eastAsia="zh-CN"/>
        </w:rPr>
        <w:t>伍拾柒万</w:t>
      </w:r>
      <w:r>
        <w:rPr>
          <w:rFonts w:hint="eastAsia" w:hAnsi="宋体" w:cs="宋体"/>
          <w:color w:val="000000"/>
          <w:sz w:val="24"/>
        </w:rPr>
        <w:t>元整）。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Style w:val="30"/>
          <w:rFonts w:hint="eastAsia" w:ascii="宋体" w:hAnsi="宋体" w:cs="宋体"/>
          <w:b w:val="0"/>
          <w:bCs w:val="0"/>
          <w:color w:val="000000"/>
          <w:kern w:val="0"/>
          <w:sz w:val="24"/>
          <w:szCs w:val="24"/>
          <w:lang w:val="en-US" w:eastAsia="zh-CN" w:bidi="ar-SA"/>
        </w:rPr>
      </w:pPr>
      <w:r>
        <w:rPr>
          <w:rStyle w:val="30"/>
          <w:rFonts w:hint="eastAsia" w:ascii="宋体" w:hAnsi="宋体" w:cs="宋体"/>
          <w:b w:val="0"/>
          <w:bCs w:val="0"/>
          <w:color w:val="000000"/>
          <w:kern w:val="0"/>
          <w:sz w:val="24"/>
          <w:szCs w:val="24"/>
          <w:lang w:val="en-US" w:eastAsia="zh-CN" w:bidi="ar-SA"/>
        </w:rPr>
        <w:t>气相色谱-质谱仪参数要求</w:t>
      </w:r>
      <w:r>
        <w:rPr>
          <w:rStyle w:val="30"/>
          <w:rFonts w:hint="eastAsia" w:hAnsi="宋体" w:cs="宋体"/>
          <w:b w:val="0"/>
          <w:bCs w:val="0"/>
          <w:color w:val="000000"/>
          <w:kern w:val="0"/>
          <w:sz w:val="24"/>
          <w:szCs w:val="24"/>
          <w:lang w:val="en-US" w:eastAsia="zh-CN" w:bidi="ar-SA"/>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加※条款为核心技术要求，报价文件若有一条不满足则按无效报价处理。</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1.气相部分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1.1仪器主机带有全电子流量控制系统的高性能气相色谱仪，配有微机工作站用于色谱仪的控制和色谱数据的处理。可与其它厂家LIMS实验室管理系统无缝兼容，原始谱图数据直接写入数据库，提供API接口，支持数据，原始谱图文件无缝对接；</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1.2进样口及其检测器均采用气路电子流量控制系统（EPC）控制，控制精度达到0.001psi；保证气路的准确性，提高实验效率，保证实验数据准确性（提供省级或省级以上国家计量部门出具的的设备性能检测报告）；</w:t>
      </w:r>
    </w:p>
    <w:p>
      <w:pPr>
        <w:keepNext w:val="0"/>
        <w:keepLines w:val="0"/>
        <w:pageBreakBefore w:val="0"/>
        <w:kinsoku/>
        <w:overflowPunct/>
        <w:topLinePunct w:val="0"/>
        <w:autoSpaceDE/>
        <w:autoSpaceDN/>
        <w:bidi w:val="0"/>
        <w:adjustRightInd/>
        <w:snapToGrid/>
        <w:spacing w:line="440" w:lineRule="exact"/>
        <w:ind w:left="0" w:leftChars="0" w:right="0" w:firstLine="480" w:firstLineChars="200"/>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1.3 仪器面板控制方式：7寸电容式触摸屏可操作访问仪器状态、设置、流路、诊断（作为验收指标）</w:t>
      </w:r>
    </w:p>
    <w:p>
      <w:pPr>
        <w:keepNext w:val="0"/>
        <w:keepLines w:val="0"/>
        <w:pageBreakBefore w:val="0"/>
        <w:kinsoku/>
        <w:overflowPunct/>
        <w:topLinePunct w:val="0"/>
        <w:autoSpaceDE/>
        <w:autoSpaceDN/>
        <w:bidi w:val="0"/>
        <w:adjustRightInd/>
        <w:snapToGrid/>
        <w:spacing w:line="440" w:lineRule="exact"/>
        <w:ind w:left="0" w:leftChars="0" w:right="0" w:firstLine="480" w:firstLineChars="200"/>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1.4色谱性能：保留时间重现性&lt;0.008%或&lt;0.0008min；峰面积重现&lt;0.5%RSD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※1.5 支持32阶柱箱升温梯度，33个恒温平台，可梯度降温。柱温箱冷却降温（25℃室温）: 从 450℃ 降到 50℃≤3.5min；从 350℃ 降到 50℃≤2.7min；可选配导风出口附件，从 450℃降到 50℃≤3.2min； </w:t>
      </w:r>
    </w:p>
    <w:p>
      <w:pPr>
        <w:keepNext w:val="0"/>
        <w:keepLines w:val="0"/>
        <w:pageBreakBefore w:val="0"/>
        <w:widowControl/>
        <w:suppressLineNumbers w:val="0"/>
        <w:kinsoku/>
        <w:overflowPunct/>
        <w:topLinePunct w:val="0"/>
        <w:autoSpaceDE/>
        <w:autoSpaceDN/>
        <w:bidi w:val="0"/>
        <w:adjustRightInd/>
        <w:snapToGrid/>
        <w:spacing w:line="440" w:lineRule="exact"/>
        <w:ind w:right="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（提供省级或省级以上国家计量部门出具的的设备性能检测报告证明文件）；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1.6温度控制精度：0.01℃；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※1.7 最高升温设置速率：250℃/min（提供软件截图并加盖供应商公章）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1.8 最长方法运行时间：9999.999min；</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1.9 温度保护：具有炉膛温度自动保护功能(色谱柱最高温度保护)；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1.10具备氢气泄露报警功能；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1.11最高使用温度：450°C；采用环型直热方式，有效消除温度梯度；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※1.12 进样口设计：快速可拆卸模块化进样口设计；最大分流比可设定范围 1:1～12500:1（提供省级或省级以上国家计量部门出具的设备性能检测报告证明文件）；</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1.13电子流量控制：高精度电子压力/流量控制；流量设定精度：0.001 mL/min；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 xml:space="preserve">1.14程序升压/升流：10 阶； </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1.15气体控制方式：恒定压力、恒定流量、程序升/降压、程序升/降流、脉冲进样；</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※1.16 最低检出限：≤1.0 pg C/s（正十六烷）； 基线漂移（30min）：≤ 2pA ；基线噪声：≤ 0.2pA ；（提供省级或省级以上国家计量部门出具的设备性能检测报告证明文件）数据采集频率：1000Hz（提供软件截图证明文件）；</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1.17 检测器的出气处采用阻火隔离安全技术设计，提高安全防护（提供相应证明材料）。</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2.质谱部分</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 质量数范围: 2～1200 amu；</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2.2最大扫描速度：20,000 amu/s；</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2.3 灵敏度：EI Scan(氦气)：1pg/ul，八氟萘 OFN ，m/z 272，S/N ≥1200；</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2.4 IDL（SIM）：IDL ≤10 fg（100 fg，OFN， 8次连续进样， m/z272，峰面积RSD &lt;7%）；</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2.5 分辨率：单位质量分辨；</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2.6 质量稳定性：≤±0.1u/48小时 (恒温)；</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2.7 EI离子源；</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※2.8 离子源材质：惰性等温陶瓷；</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2.9 离子化能量：5～100eV（自动调谐时为70eV）；</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2.10 离子源温度：独立控温，150～350℃；</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2.11 灯丝电流：5～540μA（总发射电流）；</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2.12 双灯丝设计；</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2.13 GCMS 接口温度：毛细柱直接连接，100～350℃；</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※2.14 质量分析器：配备预四极的高精度全金属四极杆：S型预过滤器特殊设计，可以完全消除光子和中子，并且引导离子无损失地进入四极杆，抗分析物污染能力强（提供证明材料）；</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2.15 扫描功能：支持全扫描模式(Scan)、选择离子扫描模式(SIM)在SIM模式下，通道x组可任意设置；</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2.16 检测系统：低电压工作下的高能打拿极，长寿命电子倍增器的三轴检测器，动态范围为&gt;5*106；</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2.17 真空系统；</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2.17.1主泵：</w:t>
      </w:r>
      <w:r>
        <w:rPr>
          <w:rStyle w:val="30"/>
          <w:rFonts w:hint="eastAsia" w:ascii="宋体" w:hAnsi="宋体" w:cs="宋体"/>
          <w:color w:val="000000"/>
          <w:kern w:val="0"/>
          <w:sz w:val="24"/>
          <w:szCs w:val="24"/>
          <w:lang w:val="zh-CN" w:eastAsia="zh-CN" w:bidi="ar-SA"/>
        </w:rPr>
        <w:t>机械泵</w:t>
      </w:r>
      <w:r>
        <w:rPr>
          <w:rStyle w:val="30"/>
          <w:rFonts w:hint="eastAsia" w:ascii="宋体" w:hAnsi="宋体" w:cs="宋体"/>
          <w:color w:val="000000"/>
          <w:kern w:val="0"/>
          <w:sz w:val="24"/>
          <w:szCs w:val="24"/>
          <w:lang w:val="en-US" w:eastAsia="zh-CN" w:bidi="ar-SA"/>
        </w:rPr>
        <w:t>抽速</w:t>
      </w:r>
      <w:r>
        <w:rPr>
          <w:rStyle w:val="30"/>
          <w:rFonts w:hint="eastAsia" w:ascii="宋体" w:hAnsi="宋体" w:cs="宋体"/>
          <w:color w:val="000000"/>
          <w:kern w:val="0"/>
          <w:sz w:val="24"/>
          <w:szCs w:val="24"/>
          <w:lang w:val="zh-CN" w:eastAsia="zh-CN" w:bidi="ar-SA"/>
        </w:rPr>
        <w:t>≥</w:t>
      </w:r>
      <w:r>
        <w:rPr>
          <w:rStyle w:val="30"/>
          <w:rFonts w:hint="eastAsia" w:ascii="宋体" w:hAnsi="宋体" w:cs="宋体"/>
          <w:color w:val="000000"/>
          <w:kern w:val="0"/>
          <w:sz w:val="24"/>
          <w:szCs w:val="24"/>
          <w:lang w:val="en-US" w:eastAsia="zh-CN" w:bidi="ar-SA"/>
        </w:rPr>
        <w:t>4 m³/h</w:t>
      </w:r>
      <w:r>
        <w:rPr>
          <w:rStyle w:val="30"/>
          <w:rFonts w:hint="eastAsia" w:ascii="宋体" w:hAnsi="宋体" w:cs="宋体"/>
          <w:color w:val="000000"/>
          <w:kern w:val="0"/>
          <w:sz w:val="24"/>
          <w:szCs w:val="24"/>
          <w:lang w:val="zh-CN" w:eastAsia="zh-CN" w:bidi="ar-SA"/>
        </w:rPr>
        <w:t>，涡轮分子泵，抽速90L/s、250L/s可选</w:t>
      </w:r>
      <w:r>
        <w:rPr>
          <w:rStyle w:val="30"/>
          <w:rFonts w:hint="eastAsia" w:ascii="宋体" w:hAnsi="宋体" w:cs="宋体"/>
          <w:color w:val="000000"/>
          <w:kern w:val="0"/>
          <w:sz w:val="24"/>
          <w:szCs w:val="24"/>
          <w:lang w:val="en-US" w:eastAsia="zh-CN" w:bidi="ar-SA"/>
        </w:rPr>
        <w:t>；</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2.17.2辅泵：4 m3/h（低噪音）vrd机械泵；</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2.17.3调谐模式：具备自动或手动调谐功能、射频：具备频率自动调节功能;参数报警功能：参数异常自动报警与记录；</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Style w:val="30"/>
          <w:rFonts w:hint="eastAsia" w:ascii="宋体" w:hAnsi="宋体" w:cs="宋体"/>
          <w:color w:val="000000"/>
          <w:kern w:val="0"/>
          <w:sz w:val="24"/>
          <w:szCs w:val="24"/>
          <w:lang w:val="en-US" w:eastAsia="zh-CN" w:bidi="ar-SA"/>
        </w:rPr>
      </w:pPr>
      <w:r>
        <w:rPr>
          <w:rStyle w:val="30"/>
          <w:rFonts w:hint="eastAsia" w:ascii="宋体" w:hAnsi="宋体" w:cs="宋体"/>
          <w:color w:val="000000"/>
          <w:kern w:val="0"/>
          <w:sz w:val="24"/>
          <w:szCs w:val="24"/>
          <w:lang w:val="en-US" w:eastAsia="zh-CN" w:bidi="ar-SA"/>
        </w:rPr>
        <w:t>2.18 数据采集与处理系统</w:t>
      </w:r>
    </w:p>
    <w:p>
      <w:pPr>
        <w:keepNext w:val="0"/>
        <w:keepLines w:val="0"/>
        <w:pageBreakBefore w:val="0"/>
        <w:widowControl/>
        <w:suppressLineNumbers w:val="0"/>
        <w:kinsoku/>
        <w:overflowPunct/>
        <w:topLinePunct w:val="0"/>
        <w:autoSpaceDE/>
        <w:autoSpaceDN/>
        <w:bidi w:val="0"/>
        <w:adjustRightInd/>
        <w:snapToGrid/>
        <w:spacing w:line="440" w:lineRule="exact"/>
        <w:ind w:left="0" w:leftChars="0" w:right="0" w:firstLine="480" w:firstLineChars="200"/>
        <w:jc w:val="left"/>
        <w:textAlignment w:val="auto"/>
        <w:rPr>
          <w:rFonts w:hint="eastAsia" w:hAnsi="宋体" w:cs="宋体"/>
          <w:color w:val="000000"/>
          <w:sz w:val="24"/>
        </w:rPr>
      </w:pPr>
      <w:r>
        <w:rPr>
          <w:rStyle w:val="30"/>
          <w:rFonts w:hint="eastAsia" w:ascii="宋体" w:hAnsi="宋体" w:cs="宋体"/>
          <w:color w:val="000000"/>
          <w:kern w:val="0"/>
          <w:sz w:val="24"/>
          <w:szCs w:val="24"/>
          <w:lang w:val="en-US" w:eastAsia="zh-CN" w:bidi="ar-SA"/>
        </w:rPr>
        <w:t>质谱仪与气相色谱仪一体化控制且都为同一品牌、开机/关机一键式操作、支持中/英文软件控制平台、SCAN数据自动生成SIM方法、具备智能预警软件和早期维护提醒功能，可提醒更换关键耗材、支持外标法、内标法、未知峰定量、选择离子定量、TIC定量等功能、支持谱库检索结果自动翻译中文，无需手动翻译。</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rPr>
        <w:t>6. 竞争性磋商文件解释权：</w:t>
      </w:r>
      <w:r>
        <w:rPr>
          <w:rFonts w:hint="eastAsia" w:hAnsi="宋体" w:cs="宋体"/>
          <w:color w:val="000000"/>
          <w:sz w:val="24"/>
        </w:rPr>
        <w:t>本项目竞争性磋商文件的最终解释权归采购人。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7</w:t>
      </w:r>
      <w:r>
        <w:rPr>
          <w:rFonts w:hint="eastAsia" w:hAnsi="宋体" w:cs="宋体"/>
          <w:b/>
          <w:bCs/>
          <w:color w:val="000000"/>
          <w:sz w:val="24"/>
        </w:rPr>
        <w:t>. 供应商资格要求</w:t>
      </w:r>
      <w:r>
        <w:rPr>
          <w:rFonts w:hint="eastAsia" w:hAnsi="宋体" w:cs="宋体"/>
          <w:color w:val="000000"/>
          <w:sz w:val="24"/>
        </w:rPr>
        <w:t>：</w:t>
      </w:r>
    </w:p>
    <w:p>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（1）一般资格条件：</w:t>
      </w:r>
    </w:p>
    <w:p>
      <w:pPr>
        <w:pStyle w:val="9"/>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Times"/>
          <w:b w:val="0"/>
          <w:color w:val="000000"/>
          <w:sz w:val="24"/>
        </w:rPr>
      </w:pPr>
      <w:r>
        <w:rPr>
          <w:rFonts w:hint="eastAsia" w:ascii="宋体" w:hAnsi="宋体" w:cs="Times"/>
          <w:b w:val="0"/>
          <w:color w:val="000000"/>
          <w:sz w:val="24"/>
        </w:rPr>
        <w:t>符合《中华人民共和国政府采购法》第二十二条及《政府采购法实施条例》第十七条规定:</w:t>
      </w:r>
    </w:p>
    <w:p>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具有独立承担民事责任的能力: 提供有效的三证合一的法人营业执照副本复印件或其他组织的营业执照副本复印件；</w:t>
      </w:r>
    </w:p>
    <w:p>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具有履行合同所必须的专业技术能力；</w:t>
      </w:r>
    </w:p>
    <w:p>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具有依法缴纳税收和社会保障资金的良好记录：提供2024年至投标截止时间任意3个月有效的依法缴纳税收和社会保障资金的证明材料；(依法免税或不需要缴纳社会保障资金的需提供证明文件)</w:t>
      </w:r>
    </w:p>
    <w:p>
      <w:pPr>
        <w:pStyle w:val="9"/>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参加本次政府采购活动前3 年内，在经营活动中没有违法违规记录: 提供参加本次政府采购活动近3年内在经营活动中没有重大违法记录的书面声明(详见响应文件格式)。</w:t>
      </w:r>
    </w:p>
    <w:p>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（2）本项目不接受分公司投标。</w:t>
      </w:r>
    </w:p>
    <w:p>
      <w:pPr>
        <w:pStyle w:val="8"/>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color w:val="000000"/>
        </w:rPr>
      </w:pPr>
      <w:r>
        <w:rPr>
          <w:rFonts w:hint="eastAsia" w:hAnsi="宋体" w:cs="Times"/>
          <w:color w:val="000000"/>
          <w:sz w:val="24"/>
        </w:rPr>
        <w:t>（3）本项目不接受联合体投标</w:t>
      </w:r>
      <w:r>
        <w:rPr>
          <w:rFonts w:hAnsi="宋体"/>
          <w:color w:val="000000"/>
          <w:sz w:val="24"/>
        </w:rPr>
        <w:t>。</w:t>
      </w:r>
    </w:p>
    <w:bookmarkEnd w:id="42"/>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000000"/>
          <w:sz w:val="24"/>
        </w:rPr>
      </w:pPr>
      <w:r>
        <w:rPr>
          <w:rFonts w:hint="eastAsia" w:hAnsi="宋体"/>
          <w:b/>
          <w:bCs/>
          <w:color w:val="000000"/>
          <w:sz w:val="24"/>
          <w:lang w:val="en-US" w:eastAsia="zh-CN"/>
        </w:rPr>
        <w:t>8</w:t>
      </w:r>
      <w:r>
        <w:rPr>
          <w:rFonts w:hint="eastAsia" w:hAnsi="宋体"/>
          <w:b/>
          <w:bCs/>
          <w:color w:val="000000"/>
          <w:sz w:val="24"/>
        </w:rPr>
        <w:t>. 递交竞争性磋商文件的截止时间</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此次竞争性磋商文件提交截止时间</w:t>
      </w:r>
      <w:r>
        <w:rPr>
          <w:rFonts w:hint="eastAsia" w:hAnsi="宋体"/>
          <w:color w:val="0000FF"/>
          <w:sz w:val="24"/>
          <w:u w:val="single"/>
        </w:rPr>
        <w:t>202</w:t>
      </w:r>
      <w:r>
        <w:rPr>
          <w:rFonts w:hint="eastAsia" w:hAnsi="宋体"/>
          <w:color w:val="0000FF"/>
          <w:sz w:val="24"/>
          <w:u w:val="single"/>
          <w:lang w:val="en-US" w:eastAsia="zh-CN"/>
        </w:rPr>
        <w:t>5</w:t>
      </w:r>
      <w:r>
        <w:rPr>
          <w:rFonts w:hint="eastAsia" w:hAnsi="宋体"/>
          <w:color w:val="0000FF"/>
          <w:sz w:val="24"/>
          <w:u w:val="single"/>
        </w:rPr>
        <w:t>年</w:t>
      </w:r>
      <w:r>
        <w:rPr>
          <w:rFonts w:hint="eastAsia" w:hAnsi="宋体"/>
          <w:color w:val="0000FF"/>
          <w:sz w:val="24"/>
          <w:u w:val="single"/>
          <w:lang w:val="en-US" w:eastAsia="zh-CN"/>
        </w:rPr>
        <w:t>4</w:t>
      </w:r>
      <w:r>
        <w:rPr>
          <w:rFonts w:hint="eastAsia" w:hAnsi="宋体"/>
          <w:color w:val="0000FF"/>
          <w:sz w:val="24"/>
          <w:u w:val="single"/>
        </w:rPr>
        <w:t>月</w:t>
      </w:r>
      <w:r>
        <w:rPr>
          <w:rFonts w:hint="eastAsia" w:hAnsi="宋体"/>
          <w:color w:val="0000FF"/>
          <w:sz w:val="24"/>
          <w:u w:val="single"/>
          <w:lang w:val="en-US" w:eastAsia="zh-CN"/>
        </w:rPr>
        <w:t>21</w:t>
      </w:r>
      <w:r>
        <w:rPr>
          <w:rFonts w:hint="eastAsia" w:hAnsi="宋体"/>
          <w:color w:val="0000FF"/>
          <w:sz w:val="24"/>
          <w:u w:val="single"/>
        </w:rPr>
        <w:t>日(星期</w:t>
      </w:r>
      <w:r>
        <w:rPr>
          <w:rFonts w:hint="eastAsia" w:hAnsi="宋体"/>
          <w:color w:val="0000FF"/>
          <w:sz w:val="24"/>
          <w:u w:val="single"/>
          <w:lang w:val="en-US" w:eastAsia="zh-CN"/>
        </w:rPr>
        <w:t>一</w:t>
      </w:r>
      <w:r>
        <w:rPr>
          <w:rFonts w:hint="eastAsia" w:hAnsi="宋体"/>
          <w:color w:val="0000FF"/>
          <w:sz w:val="24"/>
          <w:u w:val="single"/>
        </w:rPr>
        <w:t>）14:</w:t>
      </w:r>
      <w:r>
        <w:rPr>
          <w:rFonts w:hint="eastAsia" w:hAnsi="宋体"/>
          <w:color w:val="0000FF"/>
          <w:sz w:val="24"/>
          <w:u w:val="single"/>
          <w:lang w:val="en-US" w:eastAsia="zh-CN"/>
        </w:rPr>
        <w:t>0</w:t>
      </w:r>
      <w:r>
        <w:rPr>
          <w:rFonts w:hint="eastAsia" w:hAnsi="宋体"/>
          <w:color w:val="0000FF"/>
          <w:sz w:val="24"/>
          <w:u w:val="single"/>
        </w:rPr>
        <w:t>0（北京时间）。</w:t>
      </w:r>
      <w:r>
        <w:rPr>
          <w:rFonts w:hint="eastAsia" w:hAnsi="宋体" w:cs="宋体"/>
          <w:color w:val="000000"/>
          <w:sz w:val="24"/>
        </w:rPr>
        <w:t>供应商</w:t>
      </w:r>
      <w:r>
        <w:rPr>
          <w:rFonts w:hint="eastAsia" w:hAnsi="宋体"/>
          <w:color w:val="000000"/>
          <w:sz w:val="24"/>
        </w:rPr>
        <w:t>应按本须知规定的时间，携带</w:t>
      </w:r>
      <w:r>
        <w:rPr>
          <w:rFonts w:hint="eastAsia" w:hAnsi="宋体" w:cs="宋体"/>
          <w:color w:val="000000"/>
          <w:sz w:val="24"/>
        </w:rPr>
        <w:t>竞争性磋商文件</w:t>
      </w:r>
      <w:r>
        <w:rPr>
          <w:rFonts w:hint="eastAsia" w:hAnsi="宋体"/>
          <w:color w:val="000000"/>
          <w:sz w:val="24"/>
        </w:rPr>
        <w:t>到采购方通知的地点参加竞争性磋商会议，并递交</w:t>
      </w:r>
      <w:r>
        <w:rPr>
          <w:rFonts w:hint="eastAsia" w:hAnsi="宋体" w:cs="宋体"/>
          <w:color w:val="000000"/>
          <w:sz w:val="24"/>
        </w:rPr>
        <w:t>竞争性磋商文件</w:t>
      </w:r>
      <w:r>
        <w:rPr>
          <w:rFonts w:hint="eastAsia" w:hAnsi="宋体"/>
          <w:color w:val="000000"/>
          <w:sz w:val="24"/>
        </w:rPr>
        <w:t>，或邮寄竞争性磋商文件至指定地点，未按时递交文件的将视为自动弃权。</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000000"/>
          <w:sz w:val="24"/>
        </w:rPr>
      </w:pPr>
      <w:bookmarkStart w:id="58" w:name="_Toc130715893"/>
      <w:r>
        <w:rPr>
          <w:rFonts w:hint="eastAsia" w:hAnsi="宋体" w:cs="宋体"/>
          <w:b/>
          <w:bCs/>
          <w:color w:val="000000"/>
          <w:sz w:val="24"/>
          <w:lang w:val="en-US" w:eastAsia="zh-CN"/>
        </w:rPr>
        <w:t>9.</w:t>
      </w:r>
      <w:r>
        <w:rPr>
          <w:rFonts w:hint="eastAsia" w:hAnsi="宋体" w:cs="宋体"/>
          <w:b/>
          <w:bCs/>
          <w:color w:val="000000"/>
          <w:sz w:val="24"/>
        </w:rPr>
        <w:t>竞争性磋商文件</w:t>
      </w:r>
      <w:r>
        <w:rPr>
          <w:rFonts w:hAnsi="宋体" w:cs="Arial"/>
          <w:b/>
          <w:bCs/>
          <w:color w:val="000000"/>
          <w:sz w:val="24"/>
        </w:rPr>
        <w:t>组成</w:t>
      </w:r>
      <w:bookmarkEnd w:id="58"/>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竞争性磋商文件的完整性和有效性等符合竞争性磋商文件规定，无实质性负偏离、反对、设定条件或提出保留。</w:t>
      </w:r>
      <w:bookmarkStart w:id="59" w:name="_Toc130715896"/>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000000"/>
          <w:sz w:val="24"/>
        </w:rPr>
      </w:pPr>
      <w:r>
        <w:rPr>
          <w:rFonts w:hint="eastAsia" w:hAnsi="宋体"/>
          <w:b/>
          <w:bCs/>
          <w:color w:val="000000"/>
          <w:sz w:val="24"/>
        </w:rPr>
        <w:t>1</w:t>
      </w:r>
      <w:r>
        <w:rPr>
          <w:rFonts w:hint="eastAsia" w:hAnsi="宋体"/>
          <w:b/>
          <w:bCs/>
          <w:color w:val="000000"/>
          <w:sz w:val="24"/>
          <w:lang w:val="en-US" w:eastAsia="zh-CN"/>
        </w:rPr>
        <w:t>0</w:t>
      </w:r>
      <w:r>
        <w:rPr>
          <w:rFonts w:hint="eastAsia" w:hAnsi="宋体"/>
          <w:b/>
          <w:bCs/>
          <w:color w:val="000000"/>
          <w:sz w:val="24"/>
        </w:rPr>
        <w:t>.</w:t>
      </w:r>
      <w:r>
        <w:rPr>
          <w:rFonts w:hint="eastAsia" w:hAnsi="宋体" w:cs="Arial"/>
          <w:b/>
          <w:bCs/>
          <w:color w:val="000000"/>
          <w:sz w:val="24"/>
        </w:rPr>
        <w:t>竞争性磋商</w:t>
      </w:r>
      <w:r>
        <w:rPr>
          <w:rFonts w:hAnsi="宋体" w:cs="Arial"/>
          <w:b/>
          <w:color w:val="000000"/>
          <w:sz w:val="24"/>
        </w:rPr>
        <w:t>文件</w:t>
      </w:r>
      <w:r>
        <w:rPr>
          <w:rFonts w:hint="eastAsia" w:hAnsi="宋体" w:cs="Arial"/>
          <w:b/>
          <w:color w:val="000000"/>
          <w:sz w:val="24"/>
        </w:rPr>
        <w:t>提交</w:t>
      </w:r>
      <w:bookmarkEnd w:id="59"/>
      <w:r>
        <w:rPr>
          <w:rFonts w:hint="eastAsia" w:hAnsi="宋体" w:cs="Arial"/>
          <w:b/>
          <w:color w:val="000000"/>
          <w:sz w:val="24"/>
        </w:rPr>
        <w:t>及会议时间、地点</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（1）此次竞争性磋商会议时间：</w:t>
      </w:r>
      <w:r>
        <w:rPr>
          <w:rFonts w:hint="eastAsia" w:hAnsi="宋体"/>
          <w:color w:val="000000"/>
          <w:sz w:val="24"/>
          <w:u w:val="single"/>
        </w:rPr>
        <w:t>202</w:t>
      </w:r>
      <w:r>
        <w:rPr>
          <w:rFonts w:hint="eastAsia" w:hAnsi="宋体"/>
          <w:color w:val="000000"/>
          <w:sz w:val="24"/>
          <w:u w:val="single"/>
          <w:lang w:val="en-US" w:eastAsia="zh-CN"/>
        </w:rPr>
        <w:t>5</w:t>
      </w:r>
      <w:r>
        <w:rPr>
          <w:rFonts w:hint="eastAsia" w:hAnsi="宋体"/>
          <w:color w:val="000000"/>
          <w:sz w:val="24"/>
          <w:u w:val="single"/>
        </w:rPr>
        <w:t>年</w:t>
      </w:r>
      <w:r>
        <w:rPr>
          <w:rFonts w:hint="eastAsia" w:hAnsi="宋体"/>
          <w:color w:val="000000"/>
          <w:sz w:val="24"/>
          <w:u w:val="single"/>
          <w:lang w:val="en-US" w:eastAsia="zh-CN"/>
        </w:rPr>
        <w:t>4</w:t>
      </w:r>
      <w:r>
        <w:rPr>
          <w:rFonts w:hint="eastAsia" w:hAnsi="宋体"/>
          <w:color w:val="000000"/>
          <w:sz w:val="24"/>
          <w:u w:val="single"/>
        </w:rPr>
        <w:t>月</w:t>
      </w:r>
      <w:r>
        <w:rPr>
          <w:rFonts w:hint="eastAsia" w:hAnsi="宋体"/>
          <w:color w:val="000000"/>
          <w:sz w:val="24"/>
          <w:u w:val="single"/>
          <w:lang w:val="en-US" w:eastAsia="zh-CN"/>
        </w:rPr>
        <w:t>21</w:t>
      </w:r>
      <w:r>
        <w:rPr>
          <w:rFonts w:hint="eastAsia" w:hAnsi="宋体"/>
          <w:color w:val="000000"/>
          <w:sz w:val="24"/>
          <w:u w:val="single"/>
        </w:rPr>
        <w:t>日(星期</w:t>
      </w:r>
      <w:r>
        <w:rPr>
          <w:rFonts w:hint="eastAsia" w:hAnsi="宋体"/>
          <w:color w:val="000000"/>
          <w:sz w:val="24"/>
          <w:u w:val="single"/>
          <w:lang w:val="en-US" w:eastAsia="zh-CN"/>
        </w:rPr>
        <w:t>一</w:t>
      </w:r>
      <w:r>
        <w:rPr>
          <w:rFonts w:hint="eastAsia" w:hAnsi="宋体"/>
          <w:color w:val="000000"/>
          <w:sz w:val="24"/>
          <w:u w:val="single"/>
        </w:rPr>
        <w:t>）下午14:</w:t>
      </w:r>
      <w:r>
        <w:rPr>
          <w:rFonts w:hint="eastAsia" w:hAnsi="宋体"/>
          <w:color w:val="000000"/>
          <w:sz w:val="24"/>
          <w:u w:val="single"/>
          <w:lang w:val="en-US" w:eastAsia="zh-CN"/>
        </w:rPr>
        <w:t>3</w:t>
      </w:r>
      <w:r>
        <w:rPr>
          <w:rFonts w:hint="eastAsia" w:hAnsi="宋体"/>
          <w:color w:val="000000"/>
          <w:sz w:val="24"/>
          <w:u w:val="single"/>
        </w:rPr>
        <w:t>0（北京时间）</w:t>
      </w:r>
      <w:r>
        <w:rPr>
          <w:rFonts w:hint="eastAsia" w:hAnsi="宋体"/>
          <w:color w:val="000000"/>
          <w:sz w:val="24"/>
        </w:rPr>
        <w:t>，供应商将竞争性磋商文件在竞争性磋商会议中进行提交以及讲解。采购人对超时送达的竞争性磋商文件或未到场的供应商将视作自动弃权处理。</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（2） 竞争性磋商地点：</w:t>
      </w:r>
      <w:r>
        <w:rPr>
          <w:rFonts w:hint="eastAsia" w:hAnsi="宋体"/>
          <w:color w:val="000000"/>
          <w:sz w:val="24"/>
          <w:lang w:val="en-US" w:eastAsia="zh-CN"/>
        </w:rPr>
        <w:t>贵州金泰利粮油发展</w:t>
      </w:r>
      <w:r>
        <w:rPr>
          <w:rFonts w:hint="eastAsia" w:hAnsi="宋体"/>
          <w:color w:val="000000"/>
          <w:sz w:val="24"/>
        </w:rPr>
        <w:t>有限公司会议室（</w:t>
      </w:r>
      <w:r>
        <w:rPr>
          <w:rFonts w:hint="eastAsia" w:hAnsi="宋体"/>
          <w:color w:val="000000"/>
          <w:sz w:val="24"/>
          <w:lang w:val="en-US" w:eastAsia="zh-CN"/>
        </w:rPr>
        <w:t>贵阳市白云区粑粑坳粮食仓库</w:t>
      </w:r>
      <w:r>
        <w:rPr>
          <w:rFonts w:hint="eastAsia" w:hAnsi="宋体"/>
          <w:color w:val="000000"/>
          <w:sz w:val="24"/>
        </w:rPr>
        <w:t>），如有变更，采购人提前通知。</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bookmarkStart w:id="60" w:name="_Toc130715897"/>
      <w:r>
        <w:rPr>
          <w:rFonts w:hint="eastAsia" w:hAnsi="宋体"/>
          <w:color w:val="000000"/>
          <w:sz w:val="24"/>
        </w:rPr>
        <w:t xml:space="preserve">（3） </w:t>
      </w:r>
      <w:r>
        <w:rPr>
          <w:rFonts w:hint="eastAsia" w:hAnsi="宋体" w:cs="Arial"/>
          <w:color w:val="000000"/>
          <w:sz w:val="24"/>
        </w:rPr>
        <w:t>评审办法：</w:t>
      </w:r>
      <w:r>
        <w:rPr>
          <w:rFonts w:hint="eastAsia" w:hAnsi="宋体"/>
          <w:color w:val="000000"/>
          <w:sz w:val="24"/>
          <w:szCs w:val="22"/>
        </w:rPr>
        <w:t>确定项目评分规则，综合评价分最高的一家供应商为本次项目的服务商</w:t>
      </w:r>
      <w:r>
        <w:rPr>
          <w:rFonts w:hint="eastAsia" w:hAnsi="宋体"/>
          <w:color w:val="000000"/>
          <w:sz w:val="24"/>
        </w:rPr>
        <w:t>。</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1</w:t>
      </w:r>
      <w:r>
        <w:rPr>
          <w:rFonts w:hint="eastAsia" w:hAnsi="宋体" w:cs="Arial"/>
          <w:b/>
          <w:color w:val="000000"/>
          <w:sz w:val="24"/>
        </w:rPr>
        <w:t xml:space="preserve">. </w:t>
      </w:r>
      <w:bookmarkEnd w:id="60"/>
      <w:r>
        <w:rPr>
          <w:rFonts w:hint="eastAsia" w:hAnsi="宋体" w:cs="Arial"/>
          <w:b/>
          <w:color w:val="000000"/>
          <w:sz w:val="24"/>
        </w:rPr>
        <w:t>评审及评审结果告知</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评审打分组由 3 人（含）以上单数组成，对各竞争性磋商文件资质进行初步审核，通过初步审核合格后进入评审程序。</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采购人将对成交服务商发成交通知书。</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bookmarkStart w:id="61" w:name="_Toc130715898"/>
      <w:r>
        <w:rPr>
          <w:rFonts w:hint="eastAsia" w:hAnsi="宋体" w:cs="Arial"/>
          <w:b/>
          <w:color w:val="000000"/>
          <w:sz w:val="24"/>
        </w:rPr>
        <w:t>1</w:t>
      </w:r>
      <w:r>
        <w:rPr>
          <w:rFonts w:hint="eastAsia" w:hAnsi="宋体" w:cs="Arial"/>
          <w:b/>
          <w:color w:val="000000"/>
          <w:sz w:val="24"/>
          <w:lang w:val="en-US" w:eastAsia="zh-CN"/>
        </w:rPr>
        <w:t>2</w:t>
      </w:r>
      <w:r>
        <w:rPr>
          <w:rFonts w:hint="eastAsia" w:hAnsi="宋体" w:cs="Arial"/>
          <w:b/>
          <w:color w:val="000000"/>
          <w:sz w:val="24"/>
        </w:rPr>
        <w:t>. 签订采购合同</w:t>
      </w:r>
      <w:bookmarkEnd w:id="61"/>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成交公示发布三天后，采购人三十日内与成交服务商签订服务合同。</w:t>
      </w:r>
    </w:p>
    <w:p>
      <w:pPr>
        <w:pStyle w:val="8"/>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3</w:t>
      </w:r>
      <w:r>
        <w:rPr>
          <w:rFonts w:hint="eastAsia" w:hAnsi="宋体" w:cs="Arial"/>
          <w:b/>
          <w:color w:val="000000"/>
          <w:sz w:val="24"/>
        </w:rPr>
        <w:t>. 联系方式</w:t>
      </w:r>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采购人：贵</w:t>
      </w:r>
      <w:r>
        <w:rPr>
          <w:rFonts w:hint="eastAsia" w:hAnsi="宋体"/>
          <w:color w:val="000000"/>
          <w:sz w:val="24"/>
          <w:lang w:val="en-US" w:eastAsia="zh-CN"/>
        </w:rPr>
        <w:t>州金泰利粮油发展</w:t>
      </w:r>
      <w:r>
        <w:rPr>
          <w:rFonts w:hint="eastAsia" w:hAnsi="宋体"/>
          <w:color w:val="000000"/>
          <w:sz w:val="24"/>
        </w:rPr>
        <w:t>有限公司</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default" w:hAnsi="宋体" w:eastAsia="宋体"/>
          <w:color w:val="000000"/>
          <w:sz w:val="24"/>
          <w:lang w:val="en-US" w:eastAsia="zh-CN"/>
        </w:rPr>
      </w:pPr>
      <w:r>
        <w:rPr>
          <w:rFonts w:hint="eastAsia" w:hAnsi="宋体"/>
          <w:color w:val="000000"/>
          <w:sz w:val="24"/>
        </w:rPr>
        <w:t>地址：贵阳市</w:t>
      </w:r>
      <w:r>
        <w:rPr>
          <w:rFonts w:hint="eastAsia" w:hAnsi="宋体"/>
          <w:color w:val="000000"/>
          <w:sz w:val="24"/>
          <w:lang w:val="en-US" w:eastAsia="zh-CN"/>
        </w:rPr>
        <w:t>白云区粑粑坳粮食仓库</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eastAsia="宋体"/>
          <w:color w:val="000000"/>
          <w:spacing w:val="40"/>
          <w:kern w:val="2"/>
          <w:sz w:val="24"/>
          <w:szCs w:val="28"/>
          <w:lang w:eastAsia="zh-CN"/>
        </w:rPr>
      </w:pPr>
      <w:r>
        <w:rPr>
          <w:rFonts w:hint="eastAsia" w:hAnsi="宋体"/>
          <w:color w:val="000000"/>
          <w:sz w:val="24"/>
        </w:rPr>
        <w:t>联系人：</w:t>
      </w:r>
      <w:r>
        <w:rPr>
          <w:rFonts w:hint="eastAsia" w:hAnsi="宋体"/>
          <w:color w:val="000000"/>
          <w:sz w:val="24"/>
          <w:lang w:val="en-US" w:eastAsia="zh-CN"/>
        </w:rPr>
        <w:t>任申科</w:t>
      </w:r>
      <w:r>
        <w:rPr>
          <w:rFonts w:hint="eastAsia" w:hAnsi="宋体"/>
          <w:color w:val="000000"/>
          <w:sz w:val="24"/>
        </w:rPr>
        <w:t>； 联系电话：</w:t>
      </w:r>
      <w:r>
        <w:rPr>
          <w:rFonts w:hint="eastAsia" w:hAnsi="宋体" w:cs="宋体"/>
          <w:color w:val="000000"/>
          <w:sz w:val="24"/>
          <w:lang w:val="en-US" w:eastAsia="zh-CN"/>
        </w:rPr>
        <w:t>13984847701</w:t>
      </w:r>
      <w:r>
        <w:rPr>
          <w:rFonts w:hint="eastAsia" w:hAnsi="宋体"/>
          <w:color w:val="000000"/>
          <w:sz w:val="24"/>
          <w:lang w:val="en-US" w:eastAsia="zh-CN"/>
        </w:rPr>
        <w:t>。</w:t>
      </w:r>
    </w:p>
    <w:p>
      <w:pPr>
        <w:widowControl/>
        <w:spacing w:line="560" w:lineRule="exact"/>
        <w:jc w:val="left"/>
        <w:rPr>
          <w:rFonts w:hAnsi="宋体"/>
          <w:color w:val="000000"/>
          <w:spacing w:val="40"/>
          <w:kern w:val="2"/>
          <w:sz w:val="24"/>
          <w:szCs w:val="24"/>
        </w:rPr>
      </w:pPr>
    </w:p>
    <w:p>
      <w:pPr>
        <w:widowControl/>
        <w:spacing w:line="560" w:lineRule="exact"/>
        <w:jc w:val="left"/>
        <w:rPr>
          <w:rFonts w:hAnsi="宋体"/>
          <w:color w:val="000000"/>
          <w:spacing w:val="40"/>
          <w:kern w:val="2"/>
          <w:sz w:val="24"/>
          <w:szCs w:val="24"/>
        </w:rPr>
      </w:pPr>
    </w:p>
    <w:p>
      <w:pPr>
        <w:pStyle w:val="5"/>
        <w:rPr>
          <w:rFonts w:hAnsi="宋体"/>
          <w:color w:val="000000"/>
          <w:spacing w:val="40"/>
          <w:kern w:val="2"/>
          <w:sz w:val="24"/>
          <w:szCs w:val="24"/>
        </w:rPr>
      </w:pPr>
    </w:p>
    <w:p/>
    <w:p>
      <w:pPr>
        <w:pStyle w:val="5"/>
      </w:pPr>
    </w:p>
    <w:p>
      <w:pPr>
        <w:pStyle w:val="3"/>
        <w:jc w:val="center"/>
        <w:outlineLvl w:val="0"/>
        <w:rPr>
          <w:color w:val="000000"/>
        </w:rPr>
      </w:pPr>
      <w:bookmarkStart w:id="62" w:name="_Toc26677"/>
      <w:bookmarkStart w:id="63" w:name="_Toc3372"/>
      <w:r>
        <w:rPr>
          <w:rFonts w:hint="eastAsia"/>
          <w:color w:val="000000"/>
        </w:rPr>
        <w:t>第三章　评审办法及评分标准</w:t>
      </w:r>
      <w:bookmarkEnd w:id="62"/>
      <w:bookmarkEnd w:id="63"/>
    </w:p>
    <w:p>
      <w:pPr>
        <w:jc w:val="center"/>
        <w:rPr>
          <w:color w:val="000000"/>
        </w:rPr>
      </w:pPr>
      <w:bookmarkStart w:id="64" w:name="_Toc406671685"/>
      <w:bookmarkStart w:id="65" w:name="_Toc406672390"/>
      <w:bookmarkStart w:id="66" w:name="_Toc406671097"/>
      <w:bookmarkStart w:id="67" w:name="_Toc406670726"/>
    </w:p>
    <w:p>
      <w:pPr>
        <w:pStyle w:val="4"/>
        <w:outlineLvl w:val="0"/>
        <w:rPr>
          <w:rFonts w:hAnsi="宋体" w:eastAsia="宋体" w:cs="宋体"/>
          <w:b/>
          <w:color w:val="000000"/>
          <w:sz w:val="28"/>
          <w:szCs w:val="28"/>
        </w:rPr>
      </w:pPr>
      <w:bookmarkStart w:id="68" w:name="_Toc23229"/>
      <w:bookmarkStart w:id="69" w:name="_Toc2856"/>
      <w:r>
        <w:rPr>
          <w:rFonts w:hint="eastAsia" w:hAnsi="宋体" w:eastAsia="宋体" w:cs="宋体"/>
          <w:b/>
          <w:color w:val="000000"/>
          <w:sz w:val="28"/>
          <w:szCs w:val="28"/>
        </w:rPr>
        <w:t>第一节 评审办法</w:t>
      </w:r>
      <w:bookmarkEnd w:id="64"/>
      <w:bookmarkEnd w:id="65"/>
      <w:bookmarkEnd w:id="66"/>
      <w:bookmarkEnd w:id="67"/>
      <w:bookmarkEnd w:id="68"/>
      <w:bookmarkEnd w:id="69"/>
    </w:p>
    <w:p>
      <w:pPr>
        <w:rPr>
          <w:rFonts w:hAnsi="宋体" w:cs="宋体"/>
          <w:color w:val="000000"/>
          <w:sz w:val="24"/>
          <w:szCs w:val="24"/>
        </w:rPr>
      </w:pPr>
    </w:p>
    <w:p>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rPr>
        <w:t xml:space="preserve">综合评分法 </w:t>
      </w:r>
      <w:r>
        <w:rPr>
          <w:rFonts w:hint="eastAsia" w:hAnsi="宋体" w:cs="宋体"/>
          <w:color w:val="000000"/>
          <w:sz w:val="24"/>
          <w:szCs w:val="24"/>
        </w:rPr>
        <w:t>进行评审。</w:t>
      </w:r>
    </w:p>
    <w:p>
      <w:pPr>
        <w:spacing w:line="440" w:lineRule="exact"/>
        <w:ind w:firstLine="480" w:firstLineChars="200"/>
        <w:rPr>
          <w:rFonts w:hAnsi="宋体" w:cs="宋体"/>
          <w:snapToGrid w:val="0"/>
          <w:color w:val="000000"/>
          <w:spacing w:val="8"/>
          <w:sz w:val="24"/>
          <w:szCs w:val="24"/>
        </w:rPr>
      </w:pPr>
      <w:r>
        <w:rPr>
          <w:rFonts w:hint="eastAsia" w:hAnsi="宋体" w:cs="宋体"/>
          <w:color w:val="000000"/>
          <w:sz w:val="24"/>
          <w:szCs w:val="24"/>
        </w:rPr>
        <w:t xml:space="preserve"> 综合评分法：</w:t>
      </w:r>
      <w:r>
        <w:rPr>
          <w:rFonts w:hint="eastAsia" w:hAnsi="宋体" w:cs="宋体"/>
          <w:snapToGrid w:val="0"/>
          <w:color w:val="000000"/>
          <w:spacing w:val="8"/>
          <w:sz w:val="24"/>
          <w:szCs w:val="24"/>
        </w:rPr>
        <w:t>是指响应文件满足竞争性磋商文件全部实质性要求，且按照评审因素的量化指标（即评分表）评审得分最高的供应商为成交候选人的评审方法。</w:t>
      </w:r>
    </w:p>
    <w:p>
      <w:pPr>
        <w:spacing w:line="440" w:lineRule="exact"/>
        <w:ind w:firstLine="512" w:firstLineChars="200"/>
        <w:rPr>
          <w:rFonts w:hAnsi="宋体" w:cs="宋体"/>
          <w:snapToGrid w:val="0"/>
          <w:color w:val="000000"/>
          <w:spacing w:val="8"/>
          <w:sz w:val="24"/>
          <w:szCs w:val="24"/>
        </w:rPr>
      </w:pPr>
      <w:r>
        <w:rPr>
          <w:rFonts w:hint="eastAsia" w:hAnsi="宋体" w:cs="宋体"/>
          <w:snapToGrid w:val="0"/>
          <w:color w:val="000000"/>
          <w:spacing w:val="8"/>
          <w:sz w:val="24"/>
          <w:szCs w:val="24"/>
        </w:rPr>
        <w:t>注：按评审得分由高到低顺序排序。得分相同的，按响应报价由低到高顺序排列。得分且报价相同的，按技术指标优劣顺序排列。</w:t>
      </w:r>
    </w:p>
    <w:p>
      <w:pPr>
        <w:spacing w:line="440" w:lineRule="exact"/>
        <w:ind w:firstLine="512" w:firstLineChars="200"/>
        <w:rPr>
          <w:rFonts w:hAnsi="宋体" w:cs="宋体"/>
          <w:snapToGrid w:val="0"/>
          <w:color w:val="000000"/>
          <w:spacing w:val="8"/>
        </w:rPr>
      </w:pPr>
      <w:r>
        <w:rPr>
          <w:rFonts w:hint="eastAsia" w:hAnsi="宋体" w:cs="宋体"/>
          <w:snapToGrid w:val="0"/>
          <w:color w:val="000000"/>
          <w:spacing w:val="8"/>
          <w:sz w:val="24"/>
          <w:szCs w:val="24"/>
        </w:rPr>
        <w:t xml:space="preserve"> 能最大限度满足竞争性磋商文件的实质性要求和竞争性磋商文件中规定的各项综合评价标准，即综合优势明显的供应商有可能成交，但不保证最低报价者排序第一。</w:t>
      </w:r>
    </w:p>
    <w:p>
      <w:pPr>
        <w:rPr>
          <w:rFonts w:hAnsi="宋体" w:cs="宋体"/>
          <w:b/>
          <w:color w:val="000000"/>
          <w:sz w:val="28"/>
          <w:szCs w:val="28"/>
        </w:rPr>
      </w:pPr>
      <w:bookmarkStart w:id="70" w:name="_Toc406672391"/>
      <w:bookmarkStart w:id="71" w:name="_Toc406671686"/>
      <w:bookmarkStart w:id="72" w:name="_Toc406670727"/>
      <w:bookmarkStart w:id="73" w:name="_Toc406671098"/>
    </w:p>
    <w:p>
      <w:pPr>
        <w:pStyle w:val="4"/>
        <w:outlineLvl w:val="0"/>
        <w:rPr>
          <w:rFonts w:hAnsi="宋体" w:eastAsia="宋体" w:cs="宋体"/>
          <w:b/>
          <w:color w:val="000000"/>
          <w:sz w:val="28"/>
          <w:szCs w:val="28"/>
        </w:rPr>
      </w:pPr>
      <w:bookmarkStart w:id="74" w:name="_Toc21373"/>
      <w:bookmarkStart w:id="75" w:name="_Toc30324"/>
      <w:r>
        <w:rPr>
          <w:rFonts w:hint="eastAsia" w:hAnsi="宋体" w:eastAsia="宋体" w:cs="宋体"/>
          <w:b/>
          <w:color w:val="000000"/>
          <w:sz w:val="28"/>
          <w:szCs w:val="28"/>
        </w:rPr>
        <w:t>第二节 评分标准</w:t>
      </w:r>
      <w:bookmarkEnd w:id="70"/>
      <w:bookmarkEnd w:id="71"/>
      <w:bookmarkEnd w:id="72"/>
      <w:bookmarkEnd w:id="73"/>
      <w:bookmarkEnd w:id="74"/>
      <w:bookmarkEnd w:id="75"/>
    </w:p>
    <w:p>
      <w:pPr>
        <w:rPr>
          <w:color w:val="000000"/>
        </w:rPr>
      </w:pPr>
    </w:p>
    <w:p>
      <w:pPr>
        <w:spacing w:line="440" w:lineRule="exact"/>
        <w:rPr>
          <w:rFonts w:hAnsi="宋体" w:cs="宋体"/>
          <w:color w:val="000000"/>
          <w:sz w:val="24"/>
          <w:szCs w:val="24"/>
        </w:rPr>
      </w:pPr>
      <w:r>
        <w:rPr>
          <w:rFonts w:hint="eastAsia" w:hAnsi="宋体" w:cs="宋体"/>
          <w:color w:val="000000"/>
          <w:sz w:val="24"/>
          <w:szCs w:val="24"/>
        </w:rPr>
        <w:t>一、评分因素</w:t>
      </w:r>
    </w:p>
    <w:p>
      <w:pPr>
        <w:spacing w:line="440" w:lineRule="exact"/>
        <w:ind w:firstLine="480" w:firstLineChars="200"/>
        <w:rPr>
          <w:rFonts w:hAnsi="宋体" w:cs="宋体"/>
          <w:color w:val="000000"/>
          <w:sz w:val="24"/>
          <w:szCs w:val="24"/>
        </w:rPr>
      </w:pPr>
      <w:r>
        <w:rPr>
          <w:rFonts w:hint="eastAsia" w:hAnsi="宋体" w:cs="宋体"/>
          <w:color w:val="000000"/>
          <w:sz w:val="24"/>
          <w:szCs w:val="24"/>
        </w:rPr>
        <w:t>评分的主要因素分为技术因素和商务因素。评分因素详见评分表。评审分值保留至两位小数。评审时，评审专家依照评分表对每个有效供应商的响应文件进行独立评审、打分。</w:t>
      </w:r>
    </w:p>
    <w:p>
      <w:pPr>
        <w:spacing w:line="440" w:lineRule="exact"/>
        <w:rPr>
          <w:rFonts w:hAnsi="宋体" w:cs="宋体"/>
          <w:color w:val="000000"/>
          <w:sz w:val="24"/>
          <w:szCs w:val="24"/>
        </w:rPr>
      </w:pPr>
      <w:r>
        <w:rPr>
          <w:rFonts w:hint="eastAsia" w:hAnsi="宋体" w:cs="宋体"/>
          <w:color w:val="000000"/>
          <w:sz w:val="24"/>
          <w:szCs w:val="24"/>
        </w:rPr>
        <w:t>二、评分标准</w:t>
      </w:r>
    </w:p>
    <w:p>
      <w:pPr>
        <w:spacing w:line="440" w:lineRule="exact"/>
        <w:ind w:firstLine="480" w:firstLineChars="200"/>
        <w:rPr>
          <w:rFonts w:hAnsi="宋体" w:cs="宋体"/>
          <w:color w:val="000000"/>
          <w:sz w:val="28"/>
          <w:szCs w:val="28"/>
        </w:rPr>
        <w:sectPr>
          <w:headerReference r:id="rId3" w:type="default"/>
          <w:footerReference r:id="rId4" w:type="default"/>
          <w:pgSz w:w="11907" w:h="16840"/>
          <w:pgMar w:top="1531" w:right="1418" w:bottom="1361" w:left="1418" w:header="720" w:footer="720" w:gutter="0"/>
          <w:cols w:space="720" w:num="1"/>
          <w:docGrid w:linePitch="326" w:charSpace="0"/>
        </w:sectPr>
      </w:pPr>
      <w:r>
        <w:rPr>
          <w:rFonts w:hint="eastAsia" w:hAnsi="宋体" w:cs="宋体"/>
          <w:color w:val="000000"/>
          <w:sz w:val="24"/>
          <w:szCs w:val="24"/>
        </w:rPr>
        <w:t>1.初步审查表</w:t>
      </w:r>
    </w:p>
    <w:p>
      <w:pPr>
        <w:spacing w:before="100" w:beforeAutospacing="1"/>
        <w:jc w:val="center"/>
        <w:rPr>
          <w:rFonts w:hAnsi="宋体" w:cs="宋体"/>
          <w:color w:val="000000"/>
        </w:rPr>
      </w:pPr>
      <w:r>
        <w:rPr>
          <w:rFonts w:hint="eastAsia" w:hAnsi="宋体" w:cs="宋体"/>
          <w:b/>
          <w:bCs/>
          <w:color w:val="000000"/>
          <w:sz w:val="36"/>
          <w:szCs w:val="36"/>
        </w:rPr>
        <w:t>初步审查表</w:t>
      </w:r>
    </w:p>
    <w:tbl>
      <w:tblPr>
        <w:tblStyle w:val="21"/>
        <w:tblW w:w="15372" w:type="dxa"/>
        <w:jc w:val="center"/>
        <w:tblLayout w:type="fixed"/>
        <w:tblCellMar>
          <w:top w:w="0" w:type="dxa"/>
          <w:left w:w="108" w:type="dxa"/>
          <w:bottom w:w="0" w:type="dxa"/>
          <w:right w:w="108" w:type="dxa"/>
        </w:tblCellMar>
      </w:tblPr>
      <w:tblGrid>
        <w:gridCol w:w="15372"/>
      </w:tblGrid>
      <w:tr>
        <w:trPr>
          <w:trHeight w:val="438" w:hRule="atLeast"/>
          <w:jc w:val="center"/>
        </w:trPr>
        <w:tc>
          <w:tcPr>
            <w:tcW w:w="15372" w:type="dxa"/>
            <w:tcBorders>
              <w:top w:val="nil"/>
              <w:left w:val="nil"/>
              <w:bottom w:val="nil"/>
              <w:right w:val="nil"/>
            </w:tcBorders>
            <w:shd w:val="clear" w:color="000000" w:fill="FFFFFF"/>
            <w:vAlign w:val="center"/>
          </w:tcPr>
          <w:p>
            <w:pPr>
              <w:widowControl/>
              <w:spacing w:before="100" w:beforeAutospacing="1" w:after="100" w:afterAutospacing="1"/>
              <w:rPr>
                <w:rFonts w:hAnsi="宋体" w:cs="宋体"/>
                <w:color w:val="000000"/>
                <w:sz w:val="24"/>
                <w:szCs w:val="24"/>
                <w:u w:val="single"/>
              </w:rPr>
            </w:pPr>
          </w:p>
        </w:tc>
      </w:tr>
      <w:tr>
        <w:trPr>
          <w:trHeight w:val="438" w:hRule="atLeast"/>
          <w:jc w:val="center"/>
        </w:trPr>
        <w:tc>
          <w:tcPr>
            <w:tcW w:w="15372" w:type="dxa"/>
            <w:tcBorders>
              <w:top w:val="nil"/>
              <w:left w:val="nil"/>
              <w:bottom w:val="nil"/>
              <w:right w:val="nil"/>
            </w:tcBorders>
            <w:shd w:val="clear" w:color="000000" w:fill="FFFFFF"/>
            <w:vAlign w:val="center"/>
          </w:tcPr>
          <w:p>
            <w:pPr>
              <w:widowControl/>
              <w:spacing w:before="100" w:beforeAutospacing="1" w:after="100" w:afterAutospacing="1"/>
              <w:rPr>
                <w:rFonts w:hAnsi="宋体" w:cs="宋体"/>
                <w:color w:val="000000"/>
                <w:sz w:val="24"/>
                <w:szCs w:val="24"/>
                <w:u w:val="single"/>
              </w:rPr>
            </w:pPr>
            <w:r>
              <w:rPr>
                <w:rFonts w:hint="eastAsia" w:hAnsi="宋体" w:cs="宋体"/>
                <w:color w:val="000000"/>
                <w:sz w:val="24"/>
                <w:szCs w:val="24"/>
              </w:rPr>
              <w:t>项目名称：</w:t>
            </w:r>
            <w:r>
              <w:rPr>
                <w:rFonts w:hint="eastAsia" w:hAnsi="宋体" w:cs="宋体"/>
                <w:color w:val="000000"/>
                <w:sz w:val="24"/>
                <w:szCs w:val="24"/>
                <w:lang w:val="en-US" w:eastAsia="zh-CN"/>
              </w:rPr>
              <w:t>采购气相色谱-质谱仪</w:t>
            </w:r>
            <w:r>
              <w:rPr>
                <w:rFonts w:hint="eastAsia" w:hAnsi="宋体" w:cs="宋体"/>
                <w:color w:val="000000"/>
                <w:sz w:val="24"/>
              </w:rPr>
              <w:t>项目</w:t>
            </w:r>
            <w:r>
              <w:rPr>
                <w:rFonts w:hint="eastAsia" w:hAnsi="宋体" w:cs="宋体"/>
                <w:color w:val="000000"/>
                <w:sz w:val="24"/>
                <w:szCs w:val="24"/>
              </w:rPr>
              <w:t xml:space="preserve">                                                   </w:t>
            </w:r>
          </w:p>
        </w:tc>
      </w:tr>
      <w:tr>
        <w:trPr>
          <w:trHeight w:val="438" w:hRule="atLeast"/>
          <w:jc w:val="center"/>
        </w:trPr>
        <w:tc>
          <w:tcPr>
            <w:tcW w:w="15372" w:type="dxa"/>
            <w:tcBorders>
              <w:top w:val="nil"/>
              <w:left w:val="nil"/>
              <w:bottom w:val="nil"/>
              <w:right w:val="nil"/>
            </w:tcBorders>
            <w:shd w:val="clear" w:color="000000" w:fill="FFFFFF"/>
            <w:vAlign w:val="center"/>
          </w:tcPr>
          <w:p>
            <w:pPr>
              <w:widowControl/>
              <w:spacing w:before="100" w:beforeAutospacing="1" w:after="100" w:afterAutospacing="1"/>
              <w:rPr>
                <w:rFonts w:hAnsi="宋体" w:cs="宋体"/>
                <w:color w:val="000000"/>
                <w:sz w:val="24"/>
                <w:szCs w:val="24"/>
              </w:rPr>
            </w:pPr>
            <w:r>
              <w:rPr>
                <w:rFonts w:hint="eastAsia" w:hAnsi="宋体" w:cs="宋体"/>
                <w:color w:val="000000"/>
                <w:sz w:val="24"/>
                <w:szCs w:val="24"/>
              </w:rPr>
              <w:t>评审地点：</w:t>
            </w:r>
            <w:r>
              <w:rPr>
                <w:rFonts w:hint="eastAsia" w:hAnsi="宋体" w:cs="宋体"/>
                <w:color w:val="000000"/>
                <w:sz w:val="24"/>
                <w:szCs w:val="24"/>
                <w:lang w:val="en-US" w:eastAsia="zh-CN"/>
              </w:rPr>
              <w:t>贵州金泰利粮油发展</w:t>
            </w:r>
            <w:r>
              <w:rPr>
                <w:rFonts w:hint="eastAsia" w:hAnsi="宋体"/>
                <w:color w:val="000000"/>
                <w:sz w:val="24"/>
              </w:rPr>
              <w:t>有限公司会议室</w:t>
            </w:r>
            <w:r>
              <w:rPr>
                <w:rFonts w:hint="eastAsia" w:hAnsi="宋体" w:cs="宋体"/>
                <w:color w:val="000000"/>
                <w:sz w:val="24"/>
                <w:szCs w:val="24"/>
              </w:rPr>
              <w:t xml:space="preserve">                                   日期：</w:t>
            </w:r>
          </w:p>
        </w:tc>
      </w:tr>
    </w:tbl>
    <w:p>
      <w:pPr>
        <w:spacing w:line="400" w:lineRule="exact"/>
        <w:ind w:firstLine="5640" w:firstLineChars="2350"/>
        <w:rPr>
          <w:rFonts w:hAnsi="宋体"/>
          <w:color w:val="000000"/>
          <w:sz w:val="24"/>
          <w:szCs w:val="24"/>
        </w:rPr>
      </w:pPr>
    </w:p>
    <w:tbl>
      <w:tblPr>
        <w:tblStyle w:val="21"/>
        <w:tblW w:w="15335" w:type="dxa"/>
        <w:jc w:val="center"/>
        <w:tblLayout w:type="fixed"/>
        <w:tblCellMar>
          <w:top w:w="0" w:type="dxa"/>
          <w:left w:w="108" w:type="dxa"/>
          <w:bottom w:w="0" w:type="dxa"/>
          <w:right w:w="108" w:type="dxa"/>
        </w:tblCellMar>
      </w:tblPr>
      <w:tblGrid>
        <w:gridCol w:w="560"/>
        <w:gridCol w:w="1701"/>
        <w:gridCol w:w="8505"/>
        <w:gridCol w:w="850"/>
        <w:gridCol w:w="851"/>
        <w:gridCol w:w="874"/>
        <w:gridCol w:w="1038"/>
        <w:gridCol w:w="956"/>
      </w:tblGrid>
      <w:tr>
        <w:trPr>
          <w:trHeight w:val="5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r>
              <w:rPr>
                <w:rFonts w:hint="eastAsia" w:hAnsi="宋体" w:cs="宋体"/>
                <w:color w:val="000000"/>
                <w:sz w:val="24"/>
                <w:szCs w:val="24"/>
              </w:rPr>
              <w:t>序号</w:t>
            </w:r>
          </w:p>
        </w:tc>
        <w:tc>
          <w:tcPr>
            <w:tcW w:w="10206" w:type="dxa"/>
            <w:gridSpan w:val="2"/>
            <w:tcBorders>
              <w:top w:val="single" w:color="auto" w:sz="4" w:space="0"/>
              <w:left w:val="nil"/>
              <w:bottom w:val="single" w:color="auto" w:sz="4" w:space="0"/>
              <w:right w:val="single" w:color="auto" w:sz="4" w:space="0"/>
              <w:tl2br w:val="single" w:color="auto" w:sz="4" w:space="0"/>
            </w:tcBorders>
            <w:vAlign w:val="center"/>
          </w:tcPr>
          <w:p>
            <w:pPr>
              <w:rPr>
                <w:rFonts w:hAnsi="宋体" w:cs="宋体"/>
                <w:color w:val="000000"/>
                <w:sz w:val="24"/>
                <w:szCs w:val="24"/>
              </w:rPr>
            </w:pPr>
            <w:r>
              <w:rPr>
                <w:rFonts w:hint="eastAsia" w:hAnsi="宋体" w:cs="宋体"/>
                <w:color w:val="000000"/>
                <w:sz w:val="24"/>
                <w:szCs w:val="24"/>
              </w:rPr>
              <w:t xml:space="preserve">                                                         供应商名称</w:t>
            </w:r>
          </w:p>
          <w:p>
            <w:pPr>
              <w:rPr>
                <w:rFonts w:hAnsi="宋体" w:cs="宋体"/>
                <w:color w:val="000000"/>
                <w:sz w:val="24"/>
                <w:szCs w:val="24"/>
              </w:rPr>
            </w:pPr>
            <w:r>
              <w:rPr>
                <w:rFonts w:hint="eastAsia" w:hAnsi="宋体" w:cs="宋体"/>
                <w:color w:val="000000"/>
                <w:sz w:val="24"/>
                <w:szCs w:val="24"/>
              </w:rPr>
              <w:t>资格要求</w:t>
            </w:r>
          </w:p>
        </w:tc>
        <w:tc>
          <w:tcPr>
            <w:tcW w:w="850" w:type="dxa"/>
            <w:tcBorders>
              <w:top w:val="single" w:color="auto" w:sz="4" w:space="0"/>
              <w:left w:val="nil"/>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供应商1</w:t>
            </w:r>
          </w:p>
        </w:tc>
        <w:tc>
          <w:tcPr>
            <w:tcW w:w="851" w:type="dxa"/>
            <w:tcBorders>
              <w:top w:val="single" w:color="auto" w:sz="4" w:space="0"/>
              <w:left w:val="nil"/>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供应商2</w:t>
            </w:r>
          </w:p>
        </w:tc>
        <w:tc>
          <w:tcPr>
            <w:tcW w:w="874" w:type="dxa"/>
            <w:tcBorders>
              <w:top w:val="single" w:color="auto" w:sz="4" w:space="0"/>
              <w:left w:val="nil"/>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供应商3</w:t>
            </w:r>
          </w:p>
        </w:tc>
        <w:tc>
          <w:tcPr>
            <w:tcW w:w="1038" w:type="dxa"/>
            <w:tcBorders>
              <w:top w:val="single" w:color="auto" w:sz="4" w:space="0"/>
              <w:left w:val="nil"/>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供应</w:t>
            </w:r>
          </w:p>
          <w:p>
            <w:pPr>
              <w:jc w:val="center"/>
              <w:rPr>
                <w:rFonts w:hAnsi="宋体" w:cs="宋体"/>
                <w:color w:val="000000"/>
                <w:sz w:val="24"/>
                <w:szCs w:val="24"/>
              </w:rPr>
            </w:pPr>
            <w:r>
              <w:rPr>
                <w:rFonts w:hint="eastAsia" w:hAnsi="宋体" w:cs="宋体"/>
                <w:color w:val="000000"/>
                <w:sz w:val="24"/>
                <w:szCs w:val="24"/>
              </w:rPr>
              <w:t>商4</w:t>
            </w:r>
          </w:p>
        </w:tc>
        <w:tc>
          <w:tcPr>
            <w:tcW w:w="956" w:type="dxa"/>
            <w:tcBorders>
              <w:top w:val="single" w:color="auto" w:sz="4" w:space="0"/>
              <w:left w:val="nil"/>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供应</w:t>
            </w:r>
          </w:p>
          <w:p>
            <w:pPr>
              <w:jc w:val="center"/>
              <w:rPr>
                <w:rFonts w:hAnsi="宋体" w:cs="宋体"/>
                <w:color w:val="000000"/>
                <w:sz w:val="24"/>
                <w:szCs w:val="24"/>
              </w:rPr>
            </w:pPr>
            <w:r>
              <w:rPr>
                <w:rFonts w:hint="eastAsia" w:hAnsi="宋体" w:cs="宋体"/>
                <w:color w:val="000000"/>
                <w:sz w:val="24"/>
                <w:szCs w:val="24"/>
              </w:rPr>
              <w:t>商5</w:t>
            </w:r>
          </w:p>
        </w:tc>
      </w:tr>
      <w:tr>
        <w:trPr>
          <w:cantSplit/>
          <w:trHeight w:val="284" w:hRule="atLeast"/>
          <w:jc w:val="center"/>
        </w:trPr>
        <w:tc>
          <w:tcPr>
            <w:tcW w:w="560" w:type="dxa"/>
            <w:tcBorders>
              <w:top w:val="nil"/>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1</w:t>
            </w:r>
          </w:p>
        </w:tc>
        <w:tc>
          <w:tcPr>
            <w:tcW w:w="1701" w:type="dxa"/>
            <w:vMerge w:val="restart"/>
            <w:tcBorders>
              <w:top w:val="single" w:color="auto" w:sz="4" w:space="0"/>
              <w:left w:val="single" w:color="auto" w:sz="4" w:space="0"/>
              <w:right w:val="single" w:color="auto" w:sz="4" w:space="0"/>
            </w:tcBorders>
            <w:vAlign w:val="center"/>
          </w:tcPr>
          <w:p>
            <w:pPr>
              <w:ind w:firstLine="240" w:firstLineChars="100"/>
              <w:rPr>
                <w:rFonts w:hAnsi="宋体" w:cs="宋体"/>
                <w:color w:val="000000"/>
                <w:sz w:val="24"/>
                <w:szCs w:val="24"/>
              </w:rPr>
            </w:pPr>
            <w:r>
              <w:rPr>
                <w:rFonts w:hint="eastAsia" w:hAnsi="宋体" w:cs="宋体"/>
                <w:color w:val="000000"/>
                <w:sz w:val="24"/>
                <w:szCs w:val="24"/>
              </w:rPr>
              <w:t>经营资格</w:t>
            </w:r>
          </w:p>
          <w:p>
            <w:pPr>
              <w:jc w:val="center"/>
              <w:rPr>
                <w:rFonts w:hAnsi="宋体" w:cs="宋体"/>
                <w:color w:val="000000"/>
                <w:sz w:val="24"/>
                <w:szCs w:val="24"/>
              </w:rPr>
            </w:pPr>
            <w:r>
              <w:rPr>
                <w:rFonts w:hint="eastAsia" w:hAnsi="宋体" w:cs="宋体"/>
                <w:color w:val="000000"/>
                <w:sz w:val="24"/>
                <w:szCs w:val="24"/>
              </w:rPr>
              <w:t>审查</w:t>
            </w:r>
          </w:p>
        </w:tc>
        <w:tc>
          <w:tcPr>
            <w:tcW w:w="8505" w:type="dxa"/>
            <w:tcBorders>
              <w:top w:val="nil"/>
              <w:left w:val="nil"/>
              <w:bottom w:val="single" w:color="auto" w:sz="4" w:space="0"/>
              <w:right w:val="single" w:color="auto" w:sz="4" w:space="0"/>
            </w:tcBorders>
            <w:vAlign w:val="center"/>
          </w:tcPr>
          <w:p>
            <w:pPr>
              <w:spacing w:line="14" w:lineRule="atLeast"/>
              <w:rPr>
                <w:rFonts w:hAnsi="宋体" w:cs="宋体"/>
                <w:color w:val="000000"/>
                <w:sz w:val="24"/>
                <w:szCs w:val="24"/>
              </w:rPr>
            </w:pPr>
            <w:r>
              <w:rPr>
                <w:rFonts w:hint="eastAsia" w:hAnsi="宋体" w:cs="宋体"/>
                <w:color w:val="000000"/>
                <w:sz w:val="24"/>
                <w:szCs w:val="24"/>
              </w:rPr>
              <w:t>法人或者其他组织的营业执照等证明文件，自然人的身份证明：提供法人或其他组织的营业执照等证明文件，或自然人身份证明；</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2</w:t>
            </w:r>
          </w:p>
        </w:tc>
        <w:tc>
          <w:tcPr>
            <w:tcW w:w="1701" w:type="dxa"/>
            <w:vMerge w:val="continue"/>
            <w:tcBorders>
              <w:left w:val="single" w:color="auto" w:sz="4" w:space="0"/>
              <w:right w:val="single" w:color="auto" w:sz="4" w:space="0"/>
            </w:tcBorders>
            <w:vAlign w:val="center"/>
          </w:tcPr>
          <w:p>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财务状况报告，依法缴纳税收和社会保障资金的相关材料：</w:t>
            </w:r>
          </w:p>
          <w:p>
            <w:pPr>
              <w:spacing w:line="0" w:lineRule="atLeast"/>
              <w:rPr>
                <w:rFonts w:hAnsi="宋体" w:cs="宋体"/>
                <w:color w:val="000000"/>
                <w:sz w:val="24"/>
                <w:szCs w:val="24"/>
              </w:rPr>
            </w:pPr>
            <w:r>
              <w:rPr>
                <w:rFonts w:hint="eastAsia" w:hAnsi="宋体" w:cs="宋体"/>
                <w:color w:val="000000"/>
                <w:sz w:val="24"/>
                <w:szCs w:val="24"/>
              </w:rPr>
              <w:t>财务状况报告：即为202</w:t>
            </w:r>
            <w:r>
              <w:rPr>
                <w:rFonts w:hint="eastAsia" w:hAnsi="宋体" w:cs="宋体"/>
                <w:color w:val="000000"/>
                <w:sz w:val="24"/>
                <w:szCs w:val="24"/>
                <w:lang w:val="en-US" w:eastAsia="zh-CN"/>
              </w:rPr>
              <w:t>4</w:t>
            </w:r>
            <w:r>
              <w:rPr>
                <w:rFonts w:hint="eastAsia" w:hAnsi="宋体" w:cs="宋体"/>
                <w:color w:val="000000"/>
                <w:sz w:val="24"/>
                <w:szCs w:val="24"/>
              </w:rPr>
              <w:t>年度经会计师事务所出具的财务审计报告，或采购人财务出具的202</w:t>
            </w:r>
            <w:r>
              <w:rPr>
                <w:rFonts w:hint="eastAsia" w:hAnsi="宋体" w:cs="宋体"/>
                <w:color w:val="000000"/>
                <w:sz w:val="24"/>
                <w:szCs w:val="24"/>
                <w:lang w:val="en-US" w:eastAsia="zh-CN"/>
              </w:rPr>
              <w:t>4</w:t>
            </w:r>
            <w:r>
              <w:rPr>
                <w:rFonts w:hint="eastAsia" w:hAnsi="宋体" w:cs="宋体"/>
                <w:color w:val="000000"/>
                <w:sz w:val="24"/>
                <w:szCs w:val="24"/>
              </w:rPr>
              <w:t>年</w:t>
            </w:r>
            <w:r>
              <w:rPr>
                <w:rFonts w:hint="eastAsia" w:hAnsi="宋体" w:cs="宋体"/>
                <w:color w:val="000000"/>
                <w:sz w:val="24"/>
                <w:szCs w:val="24"/>
                <w:lang w:val="en-US" w:eastAsia="zh-CN"/>
              </w:rPr>
              <w:t>6</w:t>
            </w:r>
            <w:r>
              <w:rPr>
                <w:rFonts w:hint="eastAsia" w:hAnsi="宋体" w:cs="宋体"/>
                <w:color w:val="000000"/>
                <w:sz w:val="24"/>
                <w:szCs w:val="24"/>
              </w:rPr>
              <w:t>月至今任意一月财务报表，或开户银行出具的近六个月内的资信证明均可；如为新成立公司须提供银行出具的资信证明；</w:t>
            </w:r>
          </w:p>
          <w:p>
            <w:pPr>
              <w:rPr>
                <w:rFonts w:hAnsi="宋体" w:cs="宋体"/>
                <w:bCs/>
                <w:color w:val="000000"/>
                <w:sz w:val="24"/>
                <w:szCs w:val="24"/>
              </w:rPr>
            </w:pPr>
            <w:r>
              <w:rPr>
                <w:rFonts w:hint="eastAsia" w:hAnsi="宋体" w:cs="宋体"/>
                <w:color w:val="000000"/>
                <w:sz w:val="24"/>
                <w:szCs w:val="24"/>
              </w:rPr>
              <w:t>依法缴纳税收和社会保障资金：提供202</w:t>
            </w:r>
            <w:r>
              <w:rPr>
                <w:rFonts w:hint="eastAsia" w:hAnsi="宋体" w:cs="宋体"/>
                <w:color w:val="000000"/>
                <w:sz w:val="24"/>
                <w:szCs w:val="24"/>
                <w:lang w:val="en-US" w:eastAsia="zh-CN"/>
              </w:rPr>
              <w:t>4</w:t>
            </w:r>
            <w:r>
              <w:rPr>
                <w:rFonts w:hint="eastAsia" w:hAnsi="宋体" w:cs="宋体"/>
                <w:color w:val="000000"/>
                <w:sz w:val="24"/>
                <w:szCs w:val="24"/>
              </w:rPr>
              <w:t>年6月至今任一月的税票及社保交纳打印清单等证明材料复印件均可；如为新成立公司需提供情况说明，证明情况；</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3</w:t>
            </w:r>
          </w:p>
        </w:tc>
        <w:tc>
          <w:tcPr>
            <w:tcW w:w="1701" w:type="dxa"/>
            <w:vMerge w:val="continue"/>
            <w:tcBorders>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参加采购活动前3年内在经营活动中没有重大违法记录的书面声明（格式自拟）：</w:t>
            </w:r>
          </w:p>
          <w:p>
            <w:pPr>
              <w:spacing w:line="14" w:lineRule="atLeast"/>
              <w:rPr>
                <w:rFonts w:hAnsi="宋体" w:cs="宋体"/>
                <w:color w:val="000000"/>
                <w:sz w:val="24"/>
                <w:szCs w:val="24"/>
              </w:rPr>
            </w:pPr>
            <w:r>
              <w:rPr>
                <w:rFonts w:hint="eastAsia" w:hAnsi="宋体" w:cs="宋体"/>
                <w:color w:val="000000"/>
                <w:sz w:val="24"/>
                <w:szCs w:val="24"/>
              </w:rPr>
              <w:t>提供参加采购活动前3年内在经营活动中没有重大违法记录的书面声明（格式自拟）；</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cantSplit/>
          <w:trHeight w:val="34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4</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5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法律、行政法规规定的其他条件：</w:t>
            </w:r>
          </w:p>
          <w:p>
            <w:pPr>
              <w:spacing w:line="0" w:lineRule="atLeast"/>
              <w:rPr>
                <w:rFonts w:hAnsi="宋体" w:cs="宋体"/>
                <w:color w:val="000000"/>
                <w:sz w:val="24"/>
                <w:szCs w:val="24"/>
              </w:rPr>
            </w:pPr>
            <w:r>
              <w:rPr>
                <w:rFonts w:hint="eastAsia" w:hAnsi="宋体" w:cs="宋体"/>
                <w:color w:val="000000"/>
                <w:sz w:val="24"/>
                <w:szCs w:val="24"/>
              </w:rPr>
              <w:t>未列入失信被执行人、重大税收违法案件当事人名单、政府采购严重违法失信行为记录名单的证明材料：</w:t>
            </w:r>
          </w:p>
          <w:p>
            <w:pPr>
              <w:spacing w:line="0" w:lineRule="atLeast"/>
              <w:rPr>
                <w:rFonts w:hAnsi="宋体" w:cs="宋体"/>
                <w:color w:val="000000"/>
                <w:sz w:val="24"/>
                <w:szCs w:val="24"/>
              </w:rPr>
            </w:pPr>
            <w:r>
              <w:rPr>
                <w:rFonts w:hint="eastAsia" w:hAnsi="宋体" w:cs="宋体"/>
                <w:color w:val="000000"/>
                <w:sz w:val="24"/>
                <w:szCs w:val="24"/>
              </w:rPr>
              <w:t>①“信用中国”网站（www.creditchina.gov.cn）（输入网址、输入公司名称、点击公司名称即出现查询结果）；</w:t>
            </w:r>
          </w:p>
          <w:p>
            <w:pPr>
              <w:spacing w:line="0" w:lineRule="atLeast"/>
              <w:rPr>
                <w:rFonts w:hAnsi="宋体" w:cs="宋体"/>
                <w:color w:val="000000"/>
                <w:sz w:val="24"/>
                <w:szCs w:val="24"/>
              </w:rPr>
            </w:pPr>
            <w:r>
              <w:rPr>
                <w:rFonts w:hint="eastAsia" w:hAnsi="宋体" w:cs="宋体"/>
                <w:color w:val="000000"/>
                <w:sz w:val="24"/>
                <w:szCs w:val="24"/>
              </w:rPr>
              <w:t>或②中国政府采购网（www.ccgp.gov.cn）（输入网址、点击“政府采购严重违法失信行为记录名单”、输入竞争性磋商单位名称、点击“查找”，即出现查询结果。</w:t>
            </w:r>
          </w:p>
          <w:p>
            <w:pPr>
              <w:spacing w:line="0" w:lineRule="atLeast"/>
              <w:rPr>
                <w:rFonts w:hAnsi="宋体" w:cs="宋体"/>
                <w:color w:val="000000"/>
                <w:sz w:val="24"/>
                <w:szCs w:val="24"/>
              </w:rPr>
            </w:pPr>
            <w:r>
              <w:rPr>
                <w:rFonts w:hint="eastAsia" w:hAnsi="宋体" w:cs="宋体"/>
                <w:color w:val="000000"/>
                <w:sz w:val="24"/>
                <w:szCs w:val="24"/>
              </w:rPr>
              <w:t>查询截止时点：协商前30天任一时间；</w:t>
            </w:r>
          </w:p>
          <w:p>
            <w:pPr>
              <w:spacing w:line="14" w:lineRule="atLeast"/>
              <w:rPr>
                <w:rFonts w:hAnsi="宋体" w:cs="宋体"/>
                <w:bCs/>
                <w:color w:val="000000"/>
                <w:sz w:val="24"/>
                <w:szCs w:val="24"/>
              </w:rPr>
            </w:pPr>
            <w:r>
              <w:rPr>
                <w:rFonts w:hint="eastAsia" w:hAnsi="宋体" w:cs="宋体"/>
                <w:color w:val="000000"/>
                <w:sz w:val="24"/>
                <w:szCs w:val="24"/>
              </w:rPr>
              <w:t>信用信息查询记录和证据留存方式：采购人提供查询记录截图或下载信用信息（承诺函或截图）（采购人对提供截图或下载信息的真实性负责）。</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cantSplit/>
          <w:trHeight w:val="340" w:hRule="atLeast"/>
          <w:jc w:val="center"/>
        </w:trPr>
        <w:tc>
          <w:tcPr>
            <w:tcW w:w="13341" w:type="dxa"/>
            <w:gridSpan w:val="6"/>
            <w:tcBorders>
              <w:top w:val="nil"/>
              <w:left w:val="single" w:color="auto" w:sz="4" w:space="0"/>
              <w:bottom w:val="single" w:color="auto" w:sz="4" w:space="0"/>
              <w:right w:val="single" w:color="auto" w:sz="4" w:space="0"/>
            </w:tcBorders>
            <w:vAlign w:val="center"/>
          </w:tcPr>
          <w:p>
            <w:pPr>
              <w:rPr>
                <w:rFonts w:hAnsi="宋体" w:cs="宋体"/>
                <w:color w:val="000000"/>
                <w:sz w:val="24"/>
                <w:szCs w:val="24"/>
              </w:rPr>
            </w:pPr>
            <w:r>
              <w:rPr>
                <w:rFonts w:hint="eastAsia" w:hAnsi="宋体" w:cs="宋体"/>
                <w:b/>
                <w:color w:val="000000"/>
                <w:sz w:val="24"/>
                <w:szCs w:val="24"/>
              </w:rPr>
              <w:t>二、符合性检查</w:t>
            </w:r>
          </w:p>
        </w:tc>
        <w:tc>
          <w:tcPr>
            <w:tcW w:w="1038" w:type="dxa"/>
            <w:tcBorders>
              <w:top w:val="nil"/>
              <w:left w:val="single" w:color="auto" w:sz="4" w:space="0"/>
              <w:bottom w:val="single" w:color="auto" w:sz="4" w:space="0"/>
              <w:right w:val="single" w:color="auto" w:sz="4" w:space="0"/>
            </w:tcBorders>
            <w:vAlign w:val="center"/>
          </w:tcPr>
          <w:p>
            <w:pPr>
              <w:rPr>
                <w:rFonts w:hAnsi="宋体" w:cs="宋体"/>
                <w:b/>
                <w:color w:val="000000"/>
                <w:sz w:val="24"/>
                <w:szCs w:val="24"/>
              </w:rPr>
            </w:pPr>
          </w:p>
        </w:tc>
        <w:tc>
          <w:tcPr>
            <w:tcW w:w="956" w:type="dxa"/>
            <w:tcBorders>
              <w:top w:val="nil"/>
              <w:left w:val="single" w:color="auto" w:sz="4" w:space="0"/>
              <w:bottom w:val="single" w:color="auto" w:sz="4" w:space="0"/>
              <w:right w:val="single" w:color="auto" w:sz="4" w:space="0"/>
            </w:tcBorders>
            <w:vAlign w:val="center"/>
          </w:tcPr>
          <w:p>
            <w:pPr>
              <w:rPr>
                <w:rFonts w:hAnsi="宋体" w:cs="宋体"/>
                <w:b/>
                <w:color w:val="000000"/>
                <w:sz w:val="24"/>
                <w:szCs w:val="24"/>
              </w:rPr>
            </w:pPr>
          </w:p>
        </w:tc>
      </w:tr>
      <w:tr>
        <w:trPr>
          <w:cantSplit/>
          <w:trHeight w:val="358" w:hRule="atLeast"/>
          <w:jc w:val="center"/>
        </w:trPr>
        <w:tc>
          <w:tcPr>
            <w:tcW w:w="560" w:type="dxa"/>
            <w:tcBorders>
              <w:top w:val="single" w:color="auto" w:sz="4" w:space="0"/>
              <w:left w:val="single" w:color="auto" w:sz="4" w:space="0"/>
              <w:bottom w:val="single" w:color="auto" w:sz="4" w:space="0"/>
              <w:right w:val="nil"/>
            </w:tcBorders>
            <w:vAlign w:val="center"/>
          </w:tcPr>
          <w:p>
            <w:pPr>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技术符合性</w:t>
            </w:r>
          </w:p>
        </w:tc>
        <w:tc>
          <w:tcPr>
            <w:tcW w:w="8505" w:type="dxa"/>
            <w:tcBorders>
              <w:top w:val="nil"/>
              <w:left w:val="nil"/>
              <w:bottom w:val="single" w:color="auto" w:sz="4" w:space="0"/>
              <w:right w:val="single" w:color="auto" w:sz="4" w:space="0"/>
            </w:tcBorders>
            <w:vAlign w:val="center"/>
          </w:tcPr>
          <w:p>
            <w:pPr>
              <w:spacing w:line="0" w:lineRule="atLeast"/>
              <w:rPr>
                <w:color w:val="000000"/>
                <w:sz w:val="24"/>
                <w:szCs w:val="24"/>
              </w:rPr>
            </w:pPr>
            <w:r>
              <w:rPr>
                <w:rFonts w:hint="eastAsia"/>
                <w:color w:val="000000"/>
                <w:sz w:val="24"/>
                <w:szCs w:val="24"/>
              </w:rPr>
              <w:t>采购文件技术条款的符合性【符合性：无负偏离或承诺无偏离】</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cantSplit/>
          <w:trHeight w:val="408" w:hRule="atLeast"/>
          <w:jc w:val="center"/>
        </w:trPr>
        <w:tc>
          <w:tcPr>
            <w:tcW w:w="560" w:type="dxa"/>
            <w:tcBorders>
              <w:top w:val="nil"/>
              <w:left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2</w:t>
            </w:r>
          </w:p>
        </w:tc>
        <w:tc>
          <w:tcPr>
            <w:tcW w:w="1701" w:type="dxa"/>
            <w:tcBorders>
              <w:top w:val="single" w:color="auto" w:sz="4" w:space="0"/>
              <w:left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商务符合性</w:t>
            </w:r>
          </w:p>
        </w:tc>
        <w:tc>
          <w:tcPr>
            <w:tcW w:w="8505" w:type="dxa"/>
            <w:tcBorders>
              <w:top w:val="nil"/>
              <w:left w:val="nil"/>
              <w:bottom w:val="single" w:color="auto" w:sz="4" w:space="0"/>
              <w:right w:val="single" w:color="auto" w:sz="4" w:space="0"/>
            </w:tcBorders>
            <w:vAlign w:val="center"/>
          </w:tcPr>
          <w:p>
            <w:pPr>
              <w:spacing w:line="0" w:lineRule="atLeast"/>
              <w:rPr>
                <w:color w:val="000000"/>
                <w:sz w:val="24"/>
                <w:szCs w:val="24"/>
              </w:rPr>
            </w:pPr>
            <w:r>
              <w:rPr>
                <w:rFonts w:hint="eastAsia"/>
                <w:color w:val="000000"/>
                <w:sz w:val="24"/>
                <w:szCs w:val="24"/>
              </w:rPr>
              <w:t>采购文件商务条款的符合性【符合性：无负偏离或承诺无偏离】</w:t>
            </w:r>
          </w:p>
        </w:tc>
        <w:tc>
          <w:tcPr>
            <w:tcW w:w="850"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pPr>
              <w:rPr>
                <w:rFonts w:hAnsi="宋体" w:cs="宋体"/>
                <w:color w:val="000000"/>
                <w:sz w:val="24"/>
                <w:szCs w:val="24"/>
              </w:rPr>
            </w:pPr>
          </w:p>
        </w:tc>
      </w:tr>
      <w:tr>
        <w:trPr>
          <w:trHeight w:val="402" w:hRule="atLeast"/>
          <w:jc w:val="center"/>
        </w:trPr>
        <w:tc>
          <w:tcPr>
            <w:tcW w:w="13341" w:type="dxa"/>
            <w:gridSpan w:val="6"/>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r>
              <w:rPr>
                <w:rFonts w:hint="eastAsia" w:hAnsi="宋体" w:cs="宋体"/>
                <w:b/>
                <w:color w:val="000000"/>
                <w:sz w:val="24"/>
                <w:szCs w:val="24"/>
              </w:rPr>
              <w:t>三、无效标检查</w:t>
            </w:r>
          </w:p>
        </w:tc>
        <w:tc>
          <w:tcPr>
            <w:tcW w:w="1038" w:type="dxa"/>
            <w:tcBorders>
              <w:top w:val="single" w:color="auto" w:sz="4" w:space="0"/>
              <w:left w:val="single" w:color="auto" w:sz="4" w:space="0"/>
              <w:bottom w:val="single" w:color="auto" w:sz="4" w:space="0"/>
              <w:right w:val="single" w:color="auto" w:sz="4" w:space="0"/>
            </w:tcBorders>
            <w:vAlign w:val="center"/>
          </w:tcPr>
          <w:p>
            <w:pPr>
              <w:rPr>
                <w:rFonts w:hAnsi="宋体" w:cs="宋体"/>
                <w:b/>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rPr>
                <w:rFonts w:hAnsi="宋体" w:cs="宋体"/>
                <w:b/>
                <w:color w:val="000000"/>
                <w:sz w:val="24"/>
                <w:szCs w:val="24"/>
              </w:rPr>
            </w:pPr>
          </w:p>
        </w:tc>
      </w:tr>
      <w:tr>
        <w:trPr>
          <w:trHeight w:val="31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Ansi="宋体" w:cs="宋体"/>
                <w:color w:val="000000"/>
                <w:sz w:val="24"/>
                <w:szCs w:val="24"/>
              </w:rPr>
            </w:pPr>
            <w:r>
              <w:rPr>
                <w:rFonts w:hint="eastAsia" w:hAnsi="宋体" w:cs="宋体"/>
                <w:color w:val="000000"/>
                <w:sz w:val="24"/>
                <w:szCs w:val="24"/>
              </w:rPr>
              <w:t>无效标检查</w:t>
            </w:r>
          </w:p>
        </w:tc>
        <w:tc>
          <w:tcPr>
            <w:tcW w:w="85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color w:val="000000"/>
                <w:sz w:val="24"/>
                <w:szCs w:val="24"/>
              </w:rPr>
              <w:t>按本项目采购文件无效标条款规定，审查是否通过</w:t>
            </w:r>
          </w:p>
        </w:tc>
        <w:tc>
          <w:tcPr>
            <w:tcW w:w="850"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r>
      <w:tr>
        <w:trPr>
          <w:trHeight w:val="312" w:hRule="atLeast"/>
          <w:jc w:val="center"/>
        </w:trPr>
        <w:tc>
          <w:tcPr>
            <w:tcW w:w="1076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4"/>
                <w:szCs w:val="24"/>
              </w:rPr>
            </w:pPr>
            <w:r>
              <w:rPr>
                <w:rFonts w:hint="eastAsia" w:hAnsi="宋体" w:cs="宋体"/>
                <w:b/>
                <w:color w:val="000000"/>
                <w:sz w:val="24"/>
                <w:szCs w:val="24"/>
              </w:rPr>
              <w:t>初步审查结论（通过或不通过）</w:t>
            </w:r>
          </w:p>
        </w:tc>
        <w:tc>
          <w:tcPr>
            <w:tcW w:w="850"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4"/>
                <w:szCs w:val="24"/>
              </w:rPr>
            </w:pPr>
          </w:p>
        </w:tc>
      </w:tr>
    </w:tbl>
    <w:p>
      <w:pPr>
        <w:pStyle w:val="6"/>
        <w:ind w:firstLine="0" w:firstLineChars="0"/>
        <w:rPr>
          <w:rFonts w:hAnsi="宋体"/>
          <w:color w:val="000000"/>
          <w:sz w:val="24"/>
          <w:szCs w:val="24"/>
        </w:rPr>
      </w:pPr>
    </w:p>
    <w:p>
      <w:pPr>
        <w:pStyle w:val="6"/>
        <w:ind w:firstLine="0" w:firstLineChars="0"/>
        <w:rPr>
          <w:rFonts w:hAnsi="宋体"/>
          <w:color w:val="000000"/>
          <w:sz w:val="24"/>
          <w:szCs w:val="24"/>
        </w:rPr>
      </w:pPr>
      <w:r>
        <w:rPr>
          <w:rFonts w:hint="eastAsia" w:hAnsi="宋体"/>
          <w:color w:val="000000"/>
          <w:sz w:val="24"/>
          <w:szCs w:val="24"/>
        </w:rPr>
        <w:t>评审</w:t>
      </w:r>
      <w:r>
        <w:rPr>
          <w:rFonts w:hint="eastAsia" w:hAnsi="宋体"/>
          <w:color w:val="000000"/>
          <w:sz w:val="24"/>
          <w:szCs w:val="24"/>
          <w:lang w:val="en-US" w:eastAsia="zh-CN"/>
        </w:rPr>
        <w:t>小组</w:t>
      </w:r>
      <w:r>
        <w:rPr>
          <w:rFonts w:hint="eastAsia" w:hAnsi="宋体"/>
          <w:color w:val="000000"/>
          <w:sz w:val="24"/>
          <w:szCs w:val="24"/>
        </w:rPr>
        <w:t>（签字）：</w:t>
      </w:r>
    </w:p>
    <w:p>
      <w:pPr>
        <w:rPr>
          <w:rFonts w:hAnsi="宋体"/>
          <w:color w:val="000000"/>
          <w:sz w:val="24"/>
          <w:szCs w:val="24"/>
        </w:rPr>
      </w:pPr>
    </w:p>
    <w:p>
      <w:pPr>
        <w:pStyle w:val="5"/>
        <w:ind w:left="680"/>
        <w:rPr>
          <w:rFonts w:hAnsi="宋体"/>
          <w:color w:val="000000"/>
          <w:sz w:val="24"/>
          <w:szCs w:val="24"/>
        </w:rPr>
      </w:pPr>
    </w:p>
    <w:p>
      <w:pPr>
        <w:rPr>
          <w:rFonts w:hAnsi="宋体"/>
          <w:color w:val="000000"/>
          <w:sz w:val="24"/>
          <w:szCs w:val="24"/>
        </w:rPr>
      </w:pPr>
    </w:p>
    <w:p>
      <w:pPr>
        <w:pStyle w:val="5"/>
        <w:ind w:left="680"/>
        <w:rPr>
          <w:rFonts w:hAnsi="宋体"/>
          <w:color w:val="000000"/>
          <w:sz w:val="24"/>
          <w:szCs w:val="24"/>
        </w:rPr>
      </w:pPr>
    </w:p>
    <w:p>
      <w:pPr>
        <w:rPr>
          <w:rFonts w:hAnsi="宋体"/>
          <w:color w:val="000000"/>
          <w:sz w:val="24"/>
          <w:szCs w:val="24"/>
        </w:rPr>
      </w:pPr>
    </w:p>
    <w:p>
      <w:pPr>
        <w:pStyle w:val="5"/>
        <w:ind w:left="680"/>
        <w:rPr>
          <w:rFonts w:hAnsi="宋体"/>
          <w:color w:val="000000"/>
          <w:sz w:val="24"/>
          <w:szCs w:val="24"/>
        </w:rPr>
      </w:pPr>
    </w:p>
    <w:p>
      <w:pPr>
        <w:spacing w:before="100" w:beforeAutospacing="1" w:line="240" w:lineRule="exact"/>
        <w:rPr>
          <w:rFonts w:hAnsi="宋体" w:cs="宋体"/>
          <w:b/>
          <w:bCs/>
          <w:color w:val="000000"/>
          <w:sz w:val="36"/>
          <w:szCs w:val="36"/>
        </w:rPr>
      </w:pPr>
    </w:p>
    <w:p>
      <w:pPr>
        <w:pStyle w:val="5"/>
        <w:ind w:left="680"/>
        <w:rPr>
          <w:color w:val="000000"/>
        </w:rPr>
      </w:pPr>
    </w:p>
    <w:p>
      <w:pPr>
        <w:pStyle w:val="8"/>
        <w:ind w:left="680"/>
        <w:rPr>
          <w:color w:val="000000"/>
        </w:rPr>
      </w:pPr>
    </w:p>
    <w:p>
      <w:pPr>
        <w:ind w:firstLine="593" w:firstLineChars="200"/>
        <w:jc w:val="center"/>
        <w:rPr>
          <w:rFonts w:hAnsi="宋体" w:cs="宋体"/>
          <w:color w:val="000000"/>
          <w:sz w:val="28"/>
          <w:szCs w:val="28"/>
        </w:rPr>
      </w:pPr>
      <w:r>
        <w:rPr>
          <w:rFonts w:hint="eastAsia" w:hAnsi="宋体" w:cs="宋体"/>
          <w:b/>
          <w:snapToGrid w:val="0"/>
          <w:color w:val="000000"/>
          <w:spacing w:val="8"/>
          <w:sz w:val="28"/>
          <w:szCs w:val="28"/>
        </w:rPr>
        <w:t>评分标准</w:t>
      </w:r>
    </w:p>
    <w:tbl>
      <w:tblPr>
        <w:tblStyle w:val="21"/>
        <w:tblW w:w="16233" w:type="dxa"/>
        <w:jc w:val="center"/>
        <w:tblLayout w:type="fixed"/>
        <w:tblCellMar>
          <w:top w:w="0" w:type="dxa"/>
          <w:left w:w="108" w:type="dxa"/>
          <w:bottom w:w="0" w:type="dxa"/>
          <w:right w:w="108" w:type="dxa"/>
        </w:tblCellMar>
      </w:tblPr>
      <w:tblGrid>
        <w:gridCol w:w="1859"/>
        <w:gridCol w:w="6462"/>
        <w:gridCol w:w="791"/>
        <w:gridCol w:w="730"/>
        <w:gridCol w:w="1300"/>
        <w:gridCol w:w="1367"/>
        <w:gridCol w:w="1250"/>
        <w:gridCol w:w="1200"/>
        <w:gridCol w:w="1274"/>
      </w:tblGrid>
      <w:tr>
        <w:trPr>
          <w:trHeight w:val="489" w:hRule="atLeast"/>
          <w:jc w:val="center"/>
        </w:trPr>
        <w:tc>
          <w:tcPr>
            <w:tcW w:w="9112" w:type="dxa"/>
            <w:gridSpan w:val="3"/>
            <w:tcBorders>
              <w:top w:val="nil"/>
              <w:left w:val="nil"/>
              <w:bottom w:val="nil"/>
              <w:right w:val="nil"/>
            </w:tcBorders>
            <w:shd w:val="clear" w:color="000000" w:fill="FFFFFF"/>
            <w:vAlign w:val="center"/>
          </w:tcPr>
          <w:p>
            <w:pPr>
              <w:adjustRightInd w:val="0"/>
              <w:snapToGrid w:val="0"/>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Fonts w:hint="eastAsia" w:hAnsi="宋体" w:cs="宋体"/>
                <w:color w:val="000000"/>
                <w:sz w:val="24"/>
                <w:szCs w:val="24"/>
                <w:lang w:val="en-US" w:eastAsia="zh-CN"/>
              </w:rPr>
              <w:t>采购气相色谱-质谱仪</w:t>
            </w:r>
            <w:r>
              <w:rPr>
                <w:rFonts w:hint="eastAsia" w:hAnsi="宋体" w:cs="宋体"/>
                <w:color w:val="000000"/>
                <w:sz w:val="24"/>
              </w:rPr>
              <w:t>项目</w:t>
            </w:r>
            <w:r>
              <w:rPr>
                <w:rFonts w:hint="eastAsia" w:hAnsi="宋体" w:cs="宋体"/>
                <w:color w:val="000000" w:themeColor="text1"/>
                <w:sz w:val="24"/>
                <w:szCs w:val="24"/>
                <w14:textFill>
                  <w14:solidFill>
                    <w14:schemeClr w14:val="tx1"/>
                  </w14:solidFill>
                </w14:textFill>
              </w:rPr>
              <w:t xml:space="preserve">          </w:t>
            </w:r>
          </w:p>
        </w:tc>
        <w:tc>
          <w:tcPr>
            <w:tcW w:w="7121" w:type="dxa"/>
            <w:gridSpan w:val="6"/>
            <w:tcBorders>
              <w:top w:val="nil"/>
              <w:left w:val="nil"/>
              <w:bottom w:val="nil"/>
              <w:right w:val="nil"/>
            </w:tcBorders>
            <w:shd w:val="clear" w:color="000000" w:fill="FFFFFF"/>
            <w:vAlign w:val="center"/>
          </w:tcPr>
          <w:p>
            <w:pPr>
              <w:adjustRightInd w:val="0"/>
              <w:snapToGrid w:val="0"/>
              <w:spacing w:line="0" w:lineRule="atLeas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p>
        </w:tc>
      </w:tr>
      <w:tr>
        <w:trPr>
          <w:trHeight w:val="766" w:hRule="atLeast"/>
          <w:jc w:val="center"/>
        </w:trPr>
        <w:tc>
          <w:tcPr>
            <w:tcW w:w="9112" w:type="dxa"/>
            <w:gridSpan w:val="3"/>
            <w:tcBorders>
              <w:top w:val="nil"/>
              <w:left w:val="nil"/>
              <w:bottom w:val="nil"/>
              <w:right w:val="nil"/>
            </w:tcBorders>
            <w:shd w:val="clear" w:color="000000" w:fill="FFFFFF"/>
            <w:vAlign w:val="center"/>
          </w:tcPr>
          <w:p>
            <w:pPr>
              <w:adjustRightInd w:val="0"/>
              <w:snapToGrid w:val="0"/>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评审地点：</w:t>
            </w:r>
            <w:r>
              <w:rPr>
                <w:rFonts w:hint="eastAsia" w:hAnsi="宋体" w:cs="宋体"/>
                <w:color w:val="000000"/>
                <w:sz w:val="24"/>
                <w:szCs w:val="24"/>
                <w:lang w:val="en-US" w:eastAsia="zh-CN"/>
              </w:rPr>
              <w:t>贵州金泰利粮油发展</w:t>
            </w:r>
            <w:r>
              <w:rPr>
                <w:rFonts w:hint="eastAsia" w:hAnsi="宋体"/>
                <w:color w:val="000000"/>
                <w:sz w:val="24"/>
              </w:rPr>
              <w:t>有限公司会议室</w:t>
            </w:r>
            <w:r>
              <w:rPr>
                <w:rFonts w:hint="eastAsia" w:hAnsi="宋体" w:cs="宋体"/>
                <w:color w:val="000000"/>
                <w:sz w:val="24"/>
                <w:szCs w:val="24"/>
              </w:rPr>
              <w:t xml:space="preserve"> </w:t>
            </w:r>
          </w:p>
        </w:tc>
        <w:tc>
          <w:tcPr>
            <w:tcW w:w="7121" w:type="dxa"/>
            <w:gridSpan w:val="6"/>
            <w:tcBorders>
              <w:top w:val="nil"/>
              <w:left w:val="nil"/>
              <w:bottom w:val="nil"/>
              <w:right w:val="nil"/>
            </w:tcBorders>
            <w:shd w:val="clear" w:color="000000" w:fill="FFFFFF"/>
            <w:vAlign w:val="center"/>
          </w:tcPr>
          <w:p>
            <w:pPr>
              <w:adjustRightInd w:val="0"/>
              <w:snapToGrid w:val="0"/>
              <w:spacing w:line="0" w:lineRule="atLeas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p>
        </w:tc>
      </w:tr>
      <w:tr>
        <w:trPr>
          <w:trHeight w:val="70" w:hRule="atLeast"/>
          <w:jc w:val="center"/>
        </w:trPr>
        <w:tc>
          <w:tcPr>
            <w:tcW w:w="9842"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供应商名称</w:t>
            </w:r>
          </w:p>
          <w:p>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评分项及分值</w:t>
            </w:r>
          </w:p>
        </w:tc>
        <w:tc>
          <w:tcPr>
            <w:tcW w:w="1300" w:type="dxa"/>
            <w:tcBorders>
              <w:top w:val="single" w:color="auto" w:sz="4" w:space="0"/>
              <w:left w:val="nil"/>
              <w:bottom w:val="single" w:color="auto" w:sz="4" w:space="0"/>
              <w:right w:val="single" w:color="auto" w:sz="4" w:space="0"/>
            </w:tcBorders>
            <w:shd w:val="clear" w:color="000000" w:fill="FFFFFF"/>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供应商1</w:t>
            </w:r>
          </w:p>
        </w:tc>
        <w:tc>
          <w:tcPr>
            <w:tcW w:w="1367" w:type="dxa"/>
            <w:tcBorders>
              <w:top w:val="single" w:color="auto" w:sz="4" w:space="0"/>
              <w:left w:val="nil"/>
              <w:bottom w:val="single" w:color="auto" w:sz="4" w:space="0"/>
              <w:right w:val="single" w:color="auto" w:sz="4" w:space="0"/>
            </w:tcBorders>
            <w:shd w:val="clear" w:color="000000" w:fill="FFFFFF"/>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供应商2</w:t>
            </w:r>
          </w:p>
        </w:tc>
        <w:tc>
          <w:tcPr>
            <w:tcW w:w="1250" w:type="dxa"/>
            <w:tcBorders>
              <w:top w:val="single" w:color="auto" w:sz="4" w:space="0"/>
              <w:left w:val="nil"/>
              <w:bottom w:val="single" w:color="auto" w:sz="4" w:space="0"/>
              <w:right w:val="single" w:color="auto" w:sz="4" w:space="0"/>
            </w:tcBorders>
            <w:shd w:val="clear" w:color="000000" w:fill="FFFFFF"/>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供应商3</w:t>
            </w:r>
          </w:p>
        </w:tc>
        <w:tc>
          <w:tcPr>
            <w:tcW w:w="1200" w:type="dxa"/>
            <w:tcBorders>
              <w:top w:val="single" w:color="auto" w:sz="4" w:space="0"/>
              <w:left w:val="nil"/>
              <w:bottom w:val="single" w:color="auto" w:sz="4" w:space="0"/>
              <w:right w:val="single" w:color="auto" w:sz="4" w:space="0"/>
            </w:tcBorders>
            <w:shd w:val="clear" w:color="000000" w:fill="FFFFFF"/>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供应商4</w:t>
            </w:r>
          </w:p>
        </w:tc>
        <w:tc>
          <w:tcPr>
            <w:tcW w:w="1274" w:type="dxa"/>
            <w:tcBorders>
              <w:top w:val="single" w:color="auto" w:sz="4" w:space="0"/>
              <w:left w:val="nil"/>
              <w:bottom w:val="single" w:color="auto" w:sz="4" w:space="0"/>
              <w:right w:val="single" w:color="auto" w:sz="4" w:space="0"/>
            </w:tcBorders>
            <w:shd w:val="clear" w:color="000000" w:fill="FFFFFF"/>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供应商5</w:t>
            </w:r>
          </w:p>
        </w:tc>
      </w:tr>
      <w:tr>
        <w:trPr>
          <w:trHeight w:val="549" w:hRule="atLeast"/>
          <w:jc w:val="center"/>
        </w:trPr>
        <w:tc>
          <w:tcPr>
            <w:tcW w:w="832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评分项</w:t>
            </w:r>
          </w:p>
        </w:tc>
        <w:tc>
          <w:tcPr>
            <w:tcW w:w="1521" w:type="dxa"/>
            <w:gridSpan w:val="2"/>
            <w:tcBorders>
              <w:top w:val="nil"/>
              <w:left w:val="nil"/>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分值标准</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594" w:hRule="atLeast"/>
          <w:jc w:val="center"/>
        </w:trPr>
        <w:tc>
          <w:tcPr>
            <w:tcW w:w="1859" w:type="dxa"/>
            <w:vMerge w:val="restart"/>
            <w:tcBorders>
              <w:top w:val="nil"/>
              <w:left w:val="single" w:color="auto" w:sz="4" w:space="0"/>
              <w:right w:val="single" w:color="auto" w:sz="4" w:space="0"/>
            </w:tcBorders>
            <w:shd w:val="clear" w:color="auto" w:fill="auto"/>
            <w:vAlign w:val="center"/>
          </w:tcPr>
          <w:p>
            <w:pPr>
              <w:pStyle w:val="6"/>
              <w:ind w:firstLine="440"/>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 w:val="21"/>
                <w:szCs w:val="24"/>
                <w:lang w:val="en-US" w:eastAsia="zh-CN" w:bidi="ar-SA"/>
                <w14:textFill>
                  <w14:solidFill>
                    <w14:schemeClr w14:val="tx1"/>
                  </w14:solidFill>
                </w14:textFill>
              </w:rPr>
              <w:t>技术分</w:t>
            </w:r>
          </w:p>
          <w:p>
            <w:pPr>
              <w:jc w:val="center"/>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 w:val="21"/>
                <w:szCs w:val="24"/>
                <w:lang w:val="en-US" w:eastAsia="zh-CN" w:bidi="ar-SA"/>
                <w14:textFill>
                  <w14:solidFill>
                    <w14:schemeClr w14:val="tx1"/>
                  </w14:solidFill>
                </w14:textFill>
              </w:rPr>
              <w:t>（70分）</w:t>
            </w:r>
          </w:p>
        </w:tc>
        <w:tc>
          <w:tcPr>
            <w:tcW w:w="6462"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themeColor="text1"/>
                <w:kern w:val="0"/>
                <w:sz w:val="21"/>
                <w:szCs w:val="21"/>
                <w:lang w:val="en-US" w:eastAsia="zh-CN" w:bidi="ar-SA"/>
                <w14:textFill>
                  <w14:solidFill>
                    <w14:schemeClr w14:val="tx1"/>
                  </w14:solidFill>
                </w14:textFill>
              </w:rPr>
            </w:pPr>
            <w:bookmarkStart w:id="76" w:name="OLE_LINK12"/>
            <w:r>
              <w:rPr>
                <w:rFonts w:hint="eastAsia" w:ascii="宋体" w:hAnsi="宋体" w:eastAsia="宋体" w:cs="宋体"/>
                <w:color w:val="000000" w:themeColor="text1"/>
                <w:kern w:val="0"/>
                <w:sz w:val="21"/>
                <w:szCs w:val="21"/>
                <w:lang w:val="en-US" w:eastAsia="zh-CN" w:bidi="ar-SA"/>
                <w14:textFill>
                  <w14:solidFill>
                    <w14:schemeClr w14:val="tx1"/>
                  </w14:solidFill>
                </w14:textFill>
              </w:rPr>
              <w:t>设备符合国标规范，提供相应产品合格证书。</w:t>
            </w:r>
            <w:bookmarkEnd w:id="76"/>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20</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651" w:hRule="atLeast"/>
          <w:jc w:val="center"/>
        </w:trPr>
        <w:tc>
          <w:tcPr>
            <w:tcW w:w="1859" w:type="dxa"/>
            <w:vMerge w:val="continue"/>
            <w:tcBorders>
              <w:left w:val="single" w:color="auto" w:sz="4" w:space="0"/>
              <w:right w:val="single" w:color="auto" w:sz="4" w:space="0"/>
            </w:tcBorders>
            <w:shd w:val="clear" w:color="auto" w:fill="auto"/>
            <w:vAlign w:val="center"/>
          </w:tcPr>
          <w:p>
            <w:pPr>
              <w:widowControl/>
              <w:rPr>
                <w:rFonts w:hint="eastAsia" w:hAnsi="宋体" w:cs="宋体"/>
                <w:color w:val="000000" w:themeColor="text1"/>
                <w:sz w:val="21"/>
                <w:szCs w:val="24"/>
                <w:lang w:val="en-US" w:eastAsia="zh-CN"/>
                <w14:textFill>
                  <w14:solidFill>
                    <w14:schemeClr w14:val="tx1"/>
                  </w14:solidFill>
                </w14:textFill>
              </w:rPr>
            </w:pPr>
          </w:p>
        </w:tc>
        <w:tc>
          <w:tcPr>
            <w:tcW w:w="6462" w:type="dxa"/>
            <w:tcBorders>
              <w:top w:val="nil"/>
              <w:left w:val="nil"/>
              <w:bottom w:val="single" w:color="auto" w:sz="4" w:space="0"/>
              <w:right w:val="single" w:color="auto" w:sz="4" w:space="0"/>
            </w:tcBorders>
            <w:shd w:val="clear" w:color="auto" w:fill="auto"/>
            <w:vAlign w:val="center"/>
          </w:tcPr>
          <w:p>
            <w:pPr>
              <w:widowControl/>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按照参数要求，提供省级或省级以上国家计量部门出具的的设备性能检测报告、提供证明材料等。每缺一项内容，扣3分。</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20</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535" w:hRule="atLeast"/>
          <w:jc w:val="center"/>
        </w:trPr>
        <w:tc>
          <w:tcPr>
            <w:tcW w:w="1859" w:type="dxa"/>
            <w:vMerge w:val="continue"/>
            <w:tcBorders>
              <w:left w:val="single" w:color="auto" w:sz="4" w:space="0"/>
              <w:right w:val="single" w:color="auto" w:sz="4" w:space="0"/>
            </w:tcBorders>
            <w:shd w:val="clear" w:color="auto" w:fill="auto"/>
            <w:vAlign w:val="center"/>
          </w:tcPr>
          <w:p>
            <w:pPr>
              <w:jc w:val="center"/>
              <w:rPr>
                <w:rFonts w:hAnsi="宋体" w:cs="宋体"/>
                <w:color w:val="000000" w:themeColor="text1"/>
                <w:sz w:val="22"/>
                <w:szCs w:val="22"/>
                <w14:textFill>
                  <w14:solidFill>
                    <w14:schemeClr w14:val="tx1"/>
                  </w14:solidFill>
                </w14:textFill>
              </w:rPr>
            </w:pPr>
          </w:p>
        </w:tc>
        <w:tc>
          <w:tcPr>
            <w:tcW w:w="6462" w:type="dxa"/>
            <w:tcBorders>
              <w:top w:val="nil"/>
              <w:left w:val="nil"/>
              <w:bottom w:val="single" w:color="auto" w:sz="4" w:space="0"/>
              <w:right w:val="single" w:color="auto" w:sz="4" w:space="0"/>
            </w:tcBorders>
            <w:shd w:val="clear" w:color="auto" w:fill="auto"/>
            <w:vAlign w:val="center"/>
          </w:tcPr>
          <w:p>
            <w:pPr>
              <w:widowControl/>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项目实施人员团队组成，服务认证证书、团队人员经验。如未提供，0分。</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572" w:hRule="atLeast"/>
          <w:jc w:val="center"/>
        </w:trPr>
        <w:tc>
          <w:tcPr>
            <w:tcW w:w="1859" w:type="dxa"/>
            <w:vMerge w:val="continue"/>
            <w:tcBorders>
              <w:left w:val="single" w:color="auto" w:sz="4" w:space="0"/>
              <w:right w:val="single" w:color="auto" w:sz="4" w:space="0"/>
            </w:tcBorders>
            <w:shd w:val="clear" w:color="auto" w:fill="auto"/>
            <w:vAlign w:val="center"/>
          </w:tcPr>
          <w:p>
            <w:pPr>
              <w:jc w:val="center"/>
              <w:rPr>
                <w:rFonts w:hAnsi="宋体" w:cs="宋体"/>
                <w:color w:val="000000" w:themeColor="text1"/>
                <w:sz w:val="22"/>
                <w:szCs w:val="22"/>
                <w14:textFill>
                  <w14:solidFill>
                    <w14:schemeClr w14:val="tx1"/>
                  </w14:solidFill>
                </w14:textFill>
              </w:rPr>
            </w:pPr>
          </w:p>
        </w:tc>
        <w:tc>
          <w:tcPr>
            <w:tcW w:w="6462" w:type="dxa"/>
            <w:tcBorders>
              <w:top w:val="nil"/>
              <w:left w:val="nil"/>
              <w:bottom w:val="single" w:color="auto" w:sz="4" w:space="0"/>
              <w:right w:val="single" w:color="auto" w:sz="4" w:space="0"/>
            </w:tcBorders>
            <w:shd w:val="clear" w:color="auto" w:fill="auto"/>
            <w:vAlign w:val="center"/>
          </w:tcPr>
          <w:p>
            <w:pPr>
              <w:widowControl/>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技术服务和售后服务承诺，承诺故障响应时间在2小时内到达，得10分，其他不得分。</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598" w:hRule="atLeast"/>
          <w:jc w:val="center"/>
        </w:trPr>
        <w:tc>
          <w:tcPr>
            <w:tcW w:w="1859" w:type="dxa"/>
            <w:vMerge w:val="continue"/>
            <w:tcBorders>
              <w:left w:val="single" w:color="auto" w:sz="4" w:space="0"/>
              <w:right w:val="single" w:color="auto" w:sz="4" w:space="0"/>
            </w:tcBorders>
            <w:shd w:val="clear" w:color="auto" w:fill="auto"/>
            <w:vAlign w:val="center"/>
          </w:tcPr>
          <w:p>
            <w:pPr>
              <w:jc w:val="center"/>
              <w:rPr>
                <w:rFonts w:hAnsi="宋体" w:cs="宋体"/>
                <w:color w:val="000000" w:themeColor="text1"/>
                <w:sz w:val="22"/>
                <w:szCs w:val="22"/>
                <w14:textFill>
                  <w14:solidFill>
                    <w14:schemeClr w14:val="tx1"/>
                  </w14:solidFill>
                </w14:textFill>
              </w:rPr>
            </w:pPr>
          </w:p>
        </w:tc>
        <w:tc>
          <w:tcPr>
            <w:tcW w:w="6462" w:type="dxa"/>
            <w:tcBorders>
              <w:top w:val="nil"/>
              <w:left w:val="nil"/>
              <w:bottom w:val="single" w:color="auto" w:sz="4" w:space="0"/>
              <w:right w:val="single" w:color="auto" w:sz="4" w:space="0"/>
            </w:tcBorders>
            <w:shd w:val="clear" w:color="auto" w:fill="auto"/>
            <w:vAlign w:val="center"/>
          </w:tcPr>
          <w:p>
            <w:pPr>
              <w:widowControl/>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项目人员培训计划，承诺2次（含）以上现场培训的，得5分，其他不得分。</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7</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671" w:hRule="atLeast"/>
          <w:jc w:val="center"/>
        </w:trPr>
        <w:tc>
          <w:tcPr>
            <w:tcW w:w="1859" w:type="dxa"/>
            <w:vMerge w:val="continue"/>
            <w:tcBorders>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2"/>
                <w:szCs w:val="22"/>
                <w14:textFill>
                  <w14:solidFill>
                    <w14:schemeClr w14:val="tx1"/>
                  </w14:solidFill>
                </w14:textFill>
              </w:rPr>
            </w:pPr>
          </w:p>
        </w:tc>
        <w:tc>
          <w:tcPr>
            <w:tcW w:w="6462" w:type="dxa"/>
            <w:tcBorders>
              <w:top w:val="nil"/>
              <w:left w:val="nil"/>
              <w:bottom w:val="single" w:color="auto" w:sz="4" w:space="0"/>
              <w:right w:val="single" w:color="auto" w:sz="4" w:space="0"/>
            </w:tcBorders>
            <w:shd w:val="clear" w:color="auto" w:fill="auto"/>
            <w:vAlign w:val="center"/>
          </w:tcPr>
          <w:p>
            <w:pPr>
              <w:widowControl/>
              <w:rPr>
                <w:rFonts w:hint="eastAsia" w:hAnsi="宋体" w:eastAsia="宋体" w:cs="宋体"/>
                <w:color w:val="000000" w:themeColor="text1"/>
                <w:sz w:val="21"/>
                <w:szCs w:val="21"/>
                <w:lang w:val="en-US" w:eastAsia="zh-CN"/>
                <w14:textFill>
                  <w14:solidFill>
                    <w14:schemeClr w14:val="tx1"/>
                  </w14:solidFill>
                </w14:textFill>
              </w:rPr>
            </w:pPr>
            <w:bookmarkStart w:id="77" w:name="OLE_LINK16"/>
            <w:r>
              <w:rPr>
                <w:rFonts w:hAnsi="宋体" w:cs="宋体"/>
                <w:color w:val="000000" w:themeColor="text1"/>
                <w:sz w:val="21"/>
                <w:szCs w:val="21"/>
                <w14:textFill>
                  <w14:solidFill>
                    <w14:schemeClr w14:val="tx1"/>
                  </w14:solidFill>
                </w14:textFill>
              </w:rPr>
              <w:t>近3年（指202</w:t>
            </w:r>
            <w:r>
              <w:rPr>
                <w:rFonts w:hint="eastAsia" w:hAnsi="宋体" w:cs="宋体"/>
                <w:color w:val="000000" w:themeColor="text1"/>
                <w:sz w:val="21"/>
                <w:szCs w:val="21"/>
                <w:lang w:val="en-US" w:eastAsia="zh-CN"/>
                <w14:textFill>
                  <w14:solidFill>
                    <w14:schemeClr w14:val="tx1"/>
                  </w14:solidFill>
                </w14:textFill>
              </w:rPr>
              <w:t>2</w:t>
            </w:r>
            <w:r>
              <w:rPr>
                <w:rFonts w:hAnsi="宋体" w:cs="宋体"/>
                <w:color w:val="000000" w:themeColor="text1"/>
                <w:sz w:val="21"/>
                <w:szCs w:val="21"/>
                <w14:textFill>
                  <w14:solidFill>
                    <w14:schemeClr w14:val="tx1"/>
                  </w14:solidFill>
                </w14:textFill>
              </w:rPr>
              <w:t>年</w:t>
            </w:r>
            <w:r>
              <w:rPr>
                <w:rFonts w:hint="eastAsia" w:hAnsi="宋体" w:cs="宋体"/>
                <w:color w:val="000000" w:themeColor="text1"/>
                <w:sz w:val="21"/>
                <w:szCs w:val="21"/>
                <w:lang w:val="en-US" w:eastAsia="zh-CN"/>
                <w14:textFill>
                  <w14:solidFill>
                    <w14:schemeClr w14:val="tx1"/>
                  </w14:solidFill>
                </w14:textFill>
              </w:rPr>
              <w:t>4</w:t>
            </w:r>
            <w:r>
              <w:rPr>
                <w:rFonts w:hAnsi="宋体" w:cs="宋体"/>
                <w:color w:val="000000" w:themeColor="text1"/>
                <w:sz w:val="21"/>
                <w:szCs w:val="21"/>
                <w14:textFill>
                  <w14:solidFill>
                    <w14:schemeClr w14:val="tx1"/>
                  </w14:solidFill>
                </w14:textFill>
              </w:rPr>
              <w:t>月1日至投标截止时间止）已完成</w:t>
            </w:r>
            <w:r>
              <w:rPr>
                <w:rFonts w:hint="eastAsia" w:hAnsi="宋体" w:cs="宋体"/>
                <w:color w:val="000000" w:themeColor="text1"/>
                <w:sz w:val="21"/>
                <w:szCs w:val="21"/>
                <w:lang w:val="en-US" w:eastAsia="zh-CN"/>
                <w14:textFill>
                  <w14:solidFill>
                    <w14:schemeClr w14:val="tx1"/>
                  </w14:solidFill>
                </w14:textFill>
              </w:rPr>
              <w:t>类似</w:t>
            </w:r>
            <w:r>
              <w:rPr>
                <w:rFonts w:hAnsi="宋体" w:cs="宋体"/>
                <w:color w:val="000000" w:themeColor="text1"/>
                <w:sz w:val="21"/>
                <w:szCs w:val="21"/>
                <w14:textFill>
                  <w14:solidFill>
                    <w14:schemeClr w14:val="tx1"/>
                  </w14:solidFill>
                </w14:textFill>
              </w:rPr>
              <w:t>的项目业绩1个得</w:t>
            </w:r>
            <w:r>
              <w:rPr>
                <w:rFonts w:hint="eastAsia" w:hAnsi="宋体" w:cs="宋体"/>
                <w:color w:val="000000" w:themeColor="text1"/>
                <w:sz w:val="21"/>
                <w:szCs w:val="21"/>
                <w:lang w:val="en-US" w:eastAsia="zh-CN"/>
                <w14:textFill>
                  <w14:solidFill>
                    <w14:schemeClr w14:val="tx1"/>
                  </w14:solidFill>
                </w14:textFill>
              </w:rPr>
              <w:t>1</w:t>
            </w:r>
            <w:r>
              <w:rPr>
                <w:rFonts w:hAnsi="宋体" w:cs="宋体"/>
                <w:color w:val="000000" w:themeColor="text1"/>
                <w:sz w:val="21"/>
                <w:szCs w:val="21"/>
                <w14:textFill>
                  <w14:solidFill>
                    <w14:schemeClr w14:val="tx1"/>
                  </w14:solidFill>
                </w14:textFill>
              </w:rPr>
              <w:t>分，本项满分</w:t>
            </w:r>
            <w:r>
              <w:rPr>
                <w:rFonts w:hint="eastAsia" w:hAnsi="宋体" w:cs="宋体"/>
                <w:color w:val="000000" w:themeColor="text1"/>
                <w:sz w:val="21"/>
                <w:szCs w:val="21"/>
                <w:lang w:val="en-US" w:eastAsia="zh-CN"/>
                <w14:textFill>
                  <w14:solidFill>
                    <w14:schemeClr w14:val="tx1"/>
                  </w14:solidFill>
                </w14:textFill>
              </w:rPr>
              <w:t>3</w:t>
            </w:r>
            <w:r>
              <w:rPr>
                <w:rFonts w:hAnsi="宋体" w:cs="宋体"/>
                <w:color w:val="000000" w:themeColor="text1"/>
                <w:sz w:val="21"/>
                <w:szCs w:val="21"/>
                <w14:textFill>
                  <w14:solidFill>
                    <w14:schemeClr w14:val="tx1"/>
                  </w14:solidFill>
                </w14:textFill>
              </w:rPr>
              <w:t>分</w:t>
            </w:r>
            <w:bookmarkEnd w:id="77"/>
            <w:r>
              <w:rPr>
                <w:rFonts w:hint="eastAsia" w:hAnsi="宋体" w:cs="宋体"/>
                <w:color w:val="000000" w:themeColor="text1"/>
                <w:sz w:val="21"/>
                <w:szCs w:val="21"/>
                <w:lang w:eastAsia="zh-CN"/>
                <w14:textFill>
                  <w14:solidFill>
                    <w14:schemeClr w14:val="tx1"/>
                  </w14:solidFill>
                </w14:textFill>
              </w:rPr>
              <w:t>。</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p>
        </w:tc>
        <w:tc>
          <w:tcPr>
            <w:tcW w:w="13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nil"/>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cantSplit/>
          <w:trHeight w:val="1026" w:hRule="atLeast"/>
          <w:jc w:val="center"/>
        </w:trPr>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项目报价</w:t>
            </w:r>
          </w:p>
          <w:p>
            <w:pPr>
              <w:widowControl/>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1"/>
                <w:szCs w:val="21"/>
                <w14:textFill>
                  <w14:solidFill>
                    <w14:schemeClr w14:val="tx1"/>
                  </w14:solidFill>
                </w14:textFill>
              </w:rPr>
              <w:t>（30分）</w:t>
            </w:r>
          </w:p>
        </w:tc>
        <w:tc>
          <w:tcPr>
            <w:tcW w:w="64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hAnsi="宋体" w:eastAsia="宋体" w:cs="宋体"/>
                <w:color w:val="000000" w:themeColor="text1"/>
                <w:sz w:val="22"/>
                <w:szCs w:val="22"/>
                <w:lang w:val="en-US" w:eastAsia="zh-CN"/>
                <w14:textFill>
                  <w14:solidFill>
                    <w14:schemeClr w14:val="tx1"/>
                  </w14:solidFill>
                </w14:textFill>
              </w:rPr>
            </w:pPr>
            <w:r>
              <w:rPr>
                <w:rFonts w:hint="eastAsia" w:hAnsi="宋体" w:cs="宋体"/>
                <w:color w:val="000000" w:themeColor="text1"/>
                <w:sz w:val="22"/>
                <w:szCs w:val="22"/>
                <w:lang w:val="en-US" w:eastAsia="zh-CN"/>
                <w14:textFill>
                  <w14:solidFill>
                    <w14:schemeClr w14:val="tx1"/>
                  </w14:solidFill>
                </w14:textFill>
              </w:rPr>
              <w:t>价格分采用低价优先法计算，即满足招标文件要求且投标最低的投标报价为评标基准价，其价格分为满分。其他投标人的价格分统一按照下列公式计算：投标报价得分=（评标基准价/投标报价）*价格权值*100（注：投标人报价高于招标人公布的预算控制价的则作无效标处理）</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30</w:t>
            </w:r>
          </w:p>
        </w:tc>
        <w:tc>
          <w:tcPr>
            <w:tcW w:w="130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r>
        <w:trPr>
          <w:trHeight w:val="477" w:hRule="atLeast"/>
          <w:jc w:val="center"/>
        </w:trPr>
        <w:tc>
          <w:tcPr>
            <w:tcW w:w="83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得分</w:t>
            </w:r>
          </w:p>
        </w:tc>
        <w:tc>
          <w:tcPr>
            <w:tcW w:w="152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100分</w:t>
            </w:r>
          </w:p>
        </w:tc>
        <w:tc>
          <w:tcPr>
            <w:tcW w:w="130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c>
          <w:tcPr>
            <w:tcW w:w="1274" w:type="dxa"/>
            <w:tcBorders>
              <w:top w:val="single" w:color="auto" w:sz="4" w:space="0"/>
              <w:left w:val="nil"/>
              <w:bottom w:val="single" w:color="auto" w:sz="4" w:space="0"/>
              <w:right w:val="single" w:color="auto" w:sz="4" w:space="0"/>
            </w:tcBorders>
            <w:shd w:val="clear" w:color="auto" w:fill="auto"/>
            <w:vAlign w:val="center"/>
          </w:tcPr>
          <w:p>
            <w:pPr>
              <w:rPr>
                <w:rFonts w:hAnsi="宋体" w:cs="宋体"/>
                <w:color w:val="000000" w:themeColor="text1"/>
                <w:sz w:val="24"/>
                <w:szCs w:val="24"/>
                <w14:textFill>
                  <w14:solidFill>
                    <w14:schemeClr w14:val="tx1"/>
                  </w14:solidFill>
                </w14:textFill>
              </w:rPr>
            </w:pPr>
          </w:p>
        </w:tc>
      </w:tr>
    </w:tbl>
    <w:p>
      <w:pPr>
        <w:rPr>
          <w:rFonts w:hAnsi="宋体" w:cs="宋体"/>
          <w:color w:val="000000"/>
          <w:sz w:val="24"/>
          <w:szCs w:val="24"/>
        </w:rPr>
      </w:pPr>
    </w:p>
    <w:p>
      <w:pPr>
        <w:pStyle w:val="2"/>
        <w:spacing w:line="560" w:lineRule="exact"/>
        <w:jc w:val="left"/>
        <w:outlineLvl w:val="9"/>
        <w:rPr>
          <w:rFonts w:hAnsi="宋体" w:eastAsia="宋体" w:cs="Arial"/>
          <w:b w:val="0"/>
          <w:bCs/>
          <w:color w:val="000000"/>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bookmarkStart w:id="78" w:name="_Toc4434"/>
      <w:r>
        <w:rPr>
          <w:rFonts w:hint="eastAsia" w:hAnsi="宋体" w:eastAsia="宋体" w:cs="宋体"/>
          <w:b w:val="0"/>
          <w:bCs/>
          <w:color w:val="000000"/>
          <w:sz w:val="24"/>
          <w:szCs w:val="24"/>
        </w:rPr>
        <w:t>评审</w:t>
      </w:r>
      <w:r>
        <w:rPr>
          <w:rFonts w:hint="eastAsia" w:hAnsi="宋体" w:eastAsia="宋体" w:cs="宋体"/>
          <w:b w:val="0"/>
          <w:bCs/>
          <w:color w:val="000000"/>
          <w:sz w:val="24"/>
          <w:szCs w:val="24"/>
          <w:lang w:val="en-US" w:eastAsia="zh-CN"/>
        </w:rPr>
        <w:t>小组</w:t>
      </w:r>
      <w:r>
        <w:rPr>
          <w:rFonts w:hint="eastAsia" w:hAnsi="宋体" w:eastAsia="宋体" w:cs="宋体"/>
          <w:b w:val="0"/>
          <w:bCs/>
          <w:color w:val="000000"/>
          <w:sz w:val="24"/>
          <w:szCs w:val="24"/>
        </w:rPr>
        <w:t>（签字）：</w:t>
      </w:r>
      <w:bookmarkEnd w:id="78"/>
    </w:p>
    <w:p>
      <w:pPr>
        <w:pStyle w:val="4"/>
        <w:outlineLvl w:val="0"/>
        <w:rPr>
          <w:rFonts w:hAnsi="宋体" w:eastAsia="宋体" w:cs="宋体"/>
          <w:b/>
          <w:bCs w:val="0"/>
          <w:color w:val="000000"/>
          <w:sz w:val="24"/>
          <w:szCs w:val="24"/>
        </w:rPr>
      </w:pPr>
      <w:bookmarkStart w:id="79" w:name="_Toc24290"/>
      <w:bookmarkStart w:id="80" w:name="_Toc16722"/>
      <w:r>
        <w:rPr>
          <w:rFonts w:hint="eastAsia" w:hAnsi="宋体" w:eastAsia="宋体" w:cs="宋体"/>
          <w:b/>
          <w:bCs w:val="0"/>
          <w:color w:val="000000"/>
          <w:sz w:val="24"/>
          <w:szCs w:val="24"/>
        </w:rPr>
        <w:t>第三节 废标条款（针对整个项目）</w:t>
      </w:r>
      <w:bookmarkEnd w:id="79"/>
      <w:bookmarkEnd w:id="80"/>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出现下列情形之一的，本项目作废标处理,项目评审终止：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1.响应截止后供应商不足3家或通过初步审查的供应商不足3家的。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2.出现影响采购公正的违法、违规行为的；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3.供应商的报价均超过了项目控制价及未作出下浮率报价的；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4.因重大变故，采购任务取消的；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5.法律法规规定的其他情形。</w:t>
      </w:r>
      <w:bookmarkStart w:id="81" w:name="_Toc406670731"/>
      <w:bookmarkStart w:id="82" w:name="_Toc406672393"/>
      <w:bookmarkStart w:id="83" w:name="_Toc406671690"/>
      <w:bookmarkStart w:id="84" w:name="_Toc406671102"/>
    </w:p>
    <w:p>
      <w:pPr>
        <w:pStyle w:val="4"/>
        <w:outlineLvl w:val="0"/>
        <w:rPr>
          <w:rFonts w:hAnsi="宋体" w:eastAsia="宋体" w:cs="宋体"/>
          <w:b/>
          <w:bCs w:val="0"/>
          <w:color w:val="000000"/>
          <w:sz w:val="24"/>
          <w:szCs w:val="24"/>
        </w:rPr>
      </w:pPr>
      <w:bookmarkStart w:id="85" w:name="_Toc14921"/>
      <w:bookmarkStart w:id="86" w:name="_Toc15976"/>
      <w:r>
        <w:rPr>
          <w:rFonts w:hint="eastAsia" w:hAnsi="宋体" w:eastAsia="宋体" w:cs="宋体"/>
          <w:b/>
          <w:bCs w:val="0"/>
          <w:color w:val="000000"/>
          <w:sz w:val="24"/>
          <w:szCs w:val="24"/>
        </w:rPr>
        <w:t>第四节 无效标条款（针对单个供应商）</w:t>
      </w:r>
      <w:bookmarkEnd w:id="81"/>
      <w:bookmarkEnd w:id="82"/>
      <w:bookmarkEnd w:id="83"/>
      <w:bookmarkEnd w:id="84"/>
      <w:bookmarkEnd w:id="85"/>
      <w:bookmarkEnd w:id="86"/>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出现下列情形之一的，供应商递交的响应文件作无效标处理，该供应商的响应文件不参与评审，且不计算入有效供应商家数：</w:t>
      </w:r>
    </w:p>
    <w:p>
      <w:pPr>
        <w:spacing w:line="440" w:lineRule="exact"/>
        <w:ind w:firstLine="484" w:firstLineChars="202"/>
        <w:rPr>
          <w:rFonts w:hAnsi="宋体" w:cs="宋体"/>
          <w:color w:val="000000"/>
          <w:sz w:val="24"/>
          <w:szCs w:val="24"/>
        </w:rPr>
      </w:pPr>
      <w:r>
        <w:rPr>
          <w:rFonts w:hint="eastAsia" w:hAnsi="宋体" w:cs="宋体"/>
          <w:color w:val="000000"/>
          <w:sz w:val="24"/>
          <w:szCs w:val="24"/>
        </w:rPr>
        <w:t>1.递交的响应文件不完整或未按竞争性磋商文件要求加盖公章及签字的；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2.供应商不符合国家及竞争性磋商文件规定的资格条件的；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3.同一供应商提交两个或两个以上不同的响应文件或者响应报价的，未声明哪一个报价有效的（有特殊要求的除外）；</w:t>
      </w:r>
    </w:p>
    <w:p>
      <w:pPr>
        <w:spacing w:line="440" w:lineRule="exact"/>
        <w:ind w:firstLine="484" w:firstLineChars="202"/>
        <w:rPr>
          <w:rFonts w:hAnsi="宋体" w:cs="宋体"/>
          <w:color w:val="000000"/>
          <w:sz w:val="24"/>
          <w:szCs w:val="24"/>
        </w:rPr>
      </w:pPr>
      <w:r>
        <w:rPr>
          <w:rFonts w:hint="eastAsia" w:hAnsi="宋体" w:cs="宋体"/>
          <w:color w:val="000000"/>
          <w:sz w:val="24"/>
          <w:szCs w:val="24"/>
        </w:rPr>
        <w:t>4.响应报价被竞争性磋商小组认定低于成本报价的；</w:t>
      </w:r>
    </w:p>
    <w:p>
      <w:pPr>
        <w:spacing w:line="440" w:lineRule="exact"/>
        <w:ind w:firstLine="485" w:firstLineChars="202"/>
        <w:rPr>
          <w:rFonts w:hAnsi="宋体" w:cs="宋体"/>
          <w:color w:val="000000"/>
          <w:sz w:val="24"/>
          <w:szCs w:val="24"/>
        </w:rPr>
      </w:pPr>
      <w:r>
        <w:rPr>
          <w:rFonts w:hint="eastAsia" w:hAnsi="宋体" w:cs="宋体"/>
          <w:b/>
          <w:color w:val="000000"/>
          <w:sz w:val="24"/>
          <w:szCs w:val="24"/>
        </w:rPr>
        <w:t>注：</w:t>
      </w:r>
      <w:r>
        <w:rPr>
          <w:rFonts w:hint="eastAsia" w:hAnsi="宋体" w:cs="宋体"/>
          <w:color w:val="000000"/>
          <w:sz w:val="24"/>
          <w:szCs w:val="24"/>
        </w:rPr>
        <w:t>在评审过程中，评审</w:t>
      </w:r>
      <w:r>
        <w:rPr>
          <w:rFonts w:hint="eastAsia" w:hAnsi="宋体" w:cs="宋体"/>
          <w:color w:val="000000"/>
          <w:sz w:val="24"/>
          <w:szCs w:val="24"/>
          <w:lang w:val="en-US" w:eastAsia="zh-CN"/>
        </w:rPr>
        <w:t>小组</w:t>
      </w:r>
      <w:r>
        <w:rPr>
          <w:rFonts w:hint="eastAsia" w:hAnsi="宋体" w:cs="宋体"/>
          <w:color w:val="000000"/>
          <w:sz w:val="24"/>
          <w:szCs w:val="24"/>
        </w:rPr>
        <w:t>发现采购人的报价明显低于其他竞争性磋商报价或者在设有标底时明显低于标底，使得其竞争性磋商报价可能低于其个别成本的，应当要求该采购人作出书面说明并提供相关证明材料。采购人不能合理说明或者不能提供相关证明材料的，由评审</w:t>
      </w:r>
      <w:r>
        <w:rPr>
          <w:rFonts w:hint="eastAsia" w:hAnsi="宋体" w:cs="宋体"/>
          <w:color w:val="000000"/>
          <w:sz w:val="24"/>
          <w:szCs w:val="24"/>
          <w:lang w:val="en-US" w:eastAsia="zh-CN"/>
        </w:rPr>
        <w:t>小组</w:t>
      </w:r>
      <w:r>
        <w:rPr>
          <w:rFonts w:hint="eastAsia" w:hAnsi="宋体" w:cs="宋体"/>
          <w:color w:val="000000"/>
          <w:sz w:val="24"/>
          <w:szCs w:val="24"/>
        </w:rPr>
        <w:t>认定该采购人以低于成本报价竞标，应当否决其竞争性磋商。</w:t>
      </w:r>
    </w:p>
    <w:p>
      <w:pPr>
        <w:spacing w:line="440" w:lineRule="exact"/>
        <w:ind w:firstLine="484" w:firstLineChars="202"/>
        <w:rPr>
          <w:rFonts w:hAnsi="宋体" w:cs="宋体"/>
          <w:color w:val="000000"/>
          <w:sz w:val="24"/>
          <w:szCs w:val="24"/>
        </w:rPr>
      </w:pPr>
      <w:r>
        <w:rPr>
          <w:rFonts w:hint="eastAsia" w:hAnsi="宋体" w:cs="宋体"/>
          <w:color w:val="000000"/>
          <w:sz w:val="24"/>
          <w:szCs w:val="24"/>
        </w:rPr>
        <w:t>5.供应商的报价均超过了项目控制价及未作出下浮率报价的；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6.响应文件对竞争性磋商文件的实质性要求和条件未作出响应的；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7.供应商有串通响应、弄虚作假、行贿等违法行为的；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8.响应文件未胶装成册的（采用打孔装订、活页夹等方式装订的响应文件作为无效响应处理）；</w:t>
      </w:r>
    </w:p>
    <w:p>
      <w:pPr>
        <w:spacing w:line="440" w:lineRule="exact"/>
        <w:ind w:firstLine="484" w:firstLineChars="202"/>
        <w:rPr>
          <w:rFonts w:hAnsi="宋体" w:cs="宋体"/>
          <w:color w:val="000000"/>
          <w:sz w:val="24"/>
          <w:szCs w:val="24"/>
        </w:rPr>
      </w:pPr>
      <w:r>
        <w:rPr>
          <w:rFonts w:hint="eastAsia" w:hAnsi="宋体" w:cs="宋体"/>
          <w:color w:val="000000"/>
          <w:sz w:val="24"/>
          <w:szCs w:val="24"/>
        </w:rPr>
        <w:t>9.响应有效期不满足竞争性磋商文件要求的；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 xml:space="preserve">10.法定代表人为同一个人的两个及以上法人，母公司、全资子公司及其控股公司，在同一采购项目中同时响应的； </w:t>
      </w:r>
    </w:p>
    <w:p>
      <w:pPr>
        <w:spacing w:line="440" w:lineRule="exact"/>
        <w:ind w:firstLine="484" w:firstLineChars="202"/>
        <w:rPr>
          <w:rFonts w:hAnsi="宋体" w:cs="宋体"/>
          <w:color w:val="000000"/>
          <w:sz w:val="24"/>
          <w:szCs w:val="24"/>
        </w:rPr>
      </w:pPr>
      <w:r>
        <w:rPr>
          <w:rFonts w:hint="eastAsia" w:hAnsi="宋体" w:cs="宋体"/>
          <w:color w:val="000000"/>
          <w:sz w:val="24"/>
          <w:szCs w:val="24"/>
        </w:rPr>
        <w:t>11.为本项目提供整体设计、规范编制或者项目管理、监理、检测等服务的供应商参加本采购项目的。</w:t>
      </w:r>
    </w:p>
    <w:p>
      <w:pPr>
        <w:spacing w:line="440" w:lineRule="exact"/>
        <w:ind w:firstLine="484" w:firstLineChars="202"/>
        <w:rPr>
          <w:rFonts w:hint="eastAsia" w:hAnsi="宋体" w:cs="宋体"/>
          <w:color w:val="000000"/>
          <w:sz w:val="24"/>
          <w:szCs w:val="24"/>
        </w:rPr>
      </w:pPr>
      <w:r>
        <w:rPr>
          <w:rFonts w:hint="eastAsia" w:hAnsi="宋体" w:cs="宋体"/>
          <w:color w:val="000000"/>
          <w:sz w:val="24"/>
          <w:szCs w:val="24"/>
        </w:rPr>
        <w:t>12.因响应文件中提交的复印、扫描材料模糊，关键信息无法识别，导致竞争性磋商小组无法作出判断的。</w:t>
      </w:r>
    </w:p>
    <w:p>
      <w:pPr>
        <w:spacing w:line="440" w:lineRule="exact"/>
        <w:ind w:firstLine="484" w:firstLineChars="202"/>
        <w:rPr>
          <w:rFonts w:hAnsi="宋体" w:cs="Arial"/>
          <w:color w:val="000000"/>
        </w:rPr>
      </w:pPr>
      <w:r>
        <w:rPr>
          <w:rFonts w:hint="eastAsia" w:hAnsi="宋体" w:eastAsia="宋体" w:cs="宋体"/>
          <w:b w:val="0"/>
          <w:bCs/>
          <w:color w:val="000000"/>
          <w:sz w:val="24"/>
          <w:szCs w:val="24"/>
        </w:rPr>
        <w:t>13.竞争性磋商文件内规定的其他无效标条款。</w:t>
      </w:r>
    </w:p>
    <w:p>
      <w:pPr>
        <w:pStyle w:val="5"/>
        <w:ind w:left="680"/>
        <w:rPr>
          <w:rFonts w:hAnsi="宋体" w:cs="Arial"/>
          <w:color w:val="000000"/>
        </w:rPr>
      </w:pPr>
    </w:p>
    <w:p>
      <w:pPr>
        <w:pStyle w:val="2"/>
        <w:rPr>
          <w:rFonts w:hAnsi="宋体" w:eastAsia="宋体" w:cs="宋体"/>
          <w:color w:val="000000"/>
        </w:rPr>
      </w:pPr>
      <w:bookmarkStart w:id="87" w:name="_Toc26606"/>
      <w:bookmarkStart w:id="88" w:name="_Toc7974"/>
      <w:r>
        <w:rPr>
          <w:rFonts w:hint="eastAsia" w:hAnsi="宋体" w:eastAsia="宋体" w:cs="宋体"/>
          <w:color w:val="000000"/>
        </w:rPr>
        <w:t>第二部分  通用部分</w:t>
      </w:r>
      <w:bookmarkEnd w:id="87"/>
      <w:bookmarkEnd w:id="88"/>
    </w:p>
    <w:p>
      <w:pPr>
        <w:rPr>
          <w:color w:val="000000"/>
        </w:rPr>
      </w:pPr>
      <w:bookmarkStart w:id="89" w:name="_Toc406670733"/>
      <w:bookmarkStart w:id="90" w:name="_Toc406671692"/>
      <w:bookmarkStart w:id="91" w:name="_Toc406671104"/>
      <w:bookmarkStart w:id="92" w:name="_Toc406672395"/>
    </w:p>
    <w:p>
      <w:pPr>
        <w:pStyle w:val="3"/>
        <w:numPr>
          <w:ilvl w:val="0"/>
          <w:numId w:val="3"/>
        </w:numPr>
        <w:jc w:val="center"/>
        <w:outlineLvl w:val="0"/>
        <w:rPr>
          <w:rFonts w:ascii="宋体" w:hAnsi="宋体" w:eastAsia="宋体" w:cs="宋体"/>
          <w:color w:val="000000"/>
        </w:rPr>
      </w:pPr>
      <w:r>
        <w:rPr>
          <w:rFonts w:hint="eastAsia" w:ascii="宋体" w:hAnsi="宋体" w:eastAsia="宋体" w:cs="宋体"/>
          <w:color w:val="000000"/>
        </w:rPr>
        <w:t xml:space="preserve"> </w:t>
      </w:r>
      <w:bookmarkStart w:id="93" w:name="_Toc13713"/>
      <w:bookmarkStart w:id="94" w:name="_Toc14123"/>
      <w:r>
        <w:rPr>
          <w:rFonts w:hint="eastAsia" w:ascii="宋体" w:hAnsi="宋体" w:eastAsia="宋体" w:cs="宋体"/>
          <w:color w:val="000000"/>
        </w:rPr>
        <w:t>采购程序</w:t>
      </w:r>
      <w:bookmarkEnd w:id="89"/>
      <w:bookmarkEnd w:id="90"/>
      <w:bookmarkEnd w:id="91"/>
      <w:bookmarkEnd w:id="92"/>
      <w:bookmarkEnd w:id="93"/>
      <w:bookmarkEnd w:id="94"/>
      <w:bookmarkStart w:id="95" w:name="_Toc406672396"/>
      <w:bookmarkStart w:id="96" w:name="_Toc406671693"/>
      <w:bookmarkStart w:id="97" w:name="_Toc406671105"/>
      <w:bookmarkStart w:id="98" w:name="_Toc406670734"/>
    </w:p>
    <w:p>
      <w:pPr>
        <w:pStyle w:val="3"/>
        <w:jc w:val="center"/>
        <w:outlineLvl w:val="0"/>
        <w:rPr>
          <w:rFonts w:ascii="宋体" w:hAnsi="宋体" w:eastAsia="宋体" w:cs="宋体"/>
          <w:color w:val="000000"/>
          <w:sz w:val="28"/>
          <w:szCs w:val="28"/>
        </w:rPr>
      </w:pPr>
      <w:bookmarkStart w:id="99" w:name="_Toc10342"/>
      <w:bookmarkStart w:id="100" w:name="_Toc22478"/>
      <w:r>
        <w:rPr>
          <w:rFonts w:hint="eastAsia" w:ascii="宋体" w:hAnsi="宋体" w:eastAsia="宋体" w:cs="宋体"/>
          <w:color w:val="000000"/>
          <w:sz w:val="28"/>
          <w:szCs w:val="28"/>
        </w:rPr>
        <w:t>第一节 发布采购公告</w:t>
      </w:r>
      <w:bookmarkEnd w:id="95"/>
      <w:bookmarkEnd w:id="96"/>
      <w:bookmarkEnd w:id="97"/>
      <w:bookmarkEnd w:id="98"/>
      <w:bookmarkEnd w:id="99"/>
      <w:bookmarkEnd w:id="100"/>
    </w:p>
    <w:p>
      <w:pPr>
        <w:pStyle w:val="8"/>
        <w:spacing w:after="0" w:line="560" w:lineRule="exact"/>
        <w:ind w:left="0" w:leftChars="0"/>
        <w:rPr>
          <w:rFonts w:hAnsi="宋体" w:cs="Arial"/>
          <w:color w:val="000000"/>
          <w:sz w:val="24"/>
        </w:rPr>
      </w:pPr>
      <w:r>
        <w:rPr>
          <w:rFonts w:hint="eastAsia" w:hAnsi="宋体" w:cs="Arial"/>
          <w:b/>
          <w:bCs/>
          <w:color w:val="000000"/>
          <w:sz w:val="24"/>
        </w:rPr>
        <w:t>一、</w:t>
      </w:r>
      <w:r>
        <w:rPr>
          <w:rFonts w:hint="eastAsia" w:hAnsi="宋体" w:cs="Arial"/>
          <w:color w:val="000000"/>
          <w:sz w:val="24"/>
        </w:rPr>
        <w:t>公告发布媒体</w:t>
      </w:r>
    </w:p>
    <w:p>
      <w:pPr>
        <w:pStyle w:val="8"/>
        <w:spacing w:after="0" w:line="560" w:lineRule="exact"/>
        <w:ind w:left="0" w:leftChars="0" w:firstLine="480" w:firstLineChars="200"/>
        <w:rPr>
          <w:rFonts w:hAnsi="宋体" w:cs="Arial"/>
          <w:color w:val="000000"/>
          <w:sz w:val="24"/>
        </w:rPr>
      </w:pPr>
      <w:r>
        <w:rPr>
          <w:rFonts w:hint="eastAsia" w:hAnsi="宋体"/>
          <w:color w:val="000000"/>
          <w:sz w:val="24"/>
        </w:rPr>
        <w:t>贵阳市农业农垦投资集团</w:t>
      </w:r>
      <w:r>
        <w:rPr>
          <w:rFonts w:hint="eastAsia" w:hAnsi="宋体" w:cs="Arial"/>
          <w:color w:val="000000"/>
          <w:sz w:val="24"/>
        </w:rPr>
        <w:t>官网。</w:t>
      </w:r>
    </w:p>
    <w:p>
      <w:pPr>
        <w:pStyle w:val="8"/>
        <w:spacing w:after="0" w:line="560" w:lineRule="exact"/>
        <w:ind w:left="0" w:leftChars="0"/>
        <w:rPr>
          <w:rFonts w:hAnsi="宋体" w:cs="Arial"/>
          <w:bCs/>
          <w:color w:val="000000"/>
          <w:sz w:val="24"/>
        </w:rPr>
      </w:pPr>
      <w:r>
        <w:rPr>
          <w:rFonts w:hint="eastAsia" w:hAnsi="宋体" w:cs="Arial"/>
          <w:bCs/>
          <w:color w:val="000000"/>
          <w:sz w:val="24"/>
        </w:rPr>
        <w:t>二、变更公告</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本项目将根据实际情况及需要，发布采购内容及服务要求、竞争性磋商时间调整等有关内容的变更公告。供应商须关注</w:t>
      </w:r>
      <w:r>
        <w:rPr>
          <w:rFonts w:hint="eastAsia" w:hAnsi="宋体"/>
          <w:color w:val="000000"/>
          <w:sz w:val="24"/>
          <w:lang w:val="en-US" w:eastAsia="zh-CN"/>
        </w:rPr>
        <w:t>贵州金泰利粮油发展有限公司</w:t>
      </w:r>
      <w:r>
        <w:rPr>
          <w:rFonts w:hint="eastAsia" w:hAnsi="宋体" w:cs="Arial"/>
          <w:color w:val="000000"/>
          <w:sz w:val="24"/>
        </w:rPr>
        <w:t>官网发布的关于本项目的变更公告。变更公告是竞争性磋商文件的组成部分，与竞争性磋商文件具有同等法律效力。</w:t>
      </w:r>
    </w:p>
    <w:p>
      <w:pPr>
        <w:pStyle w:val="9"/>
        <w:rPr>
          <w:color w:val="000000"/>
        </w:rPr>
      </w:pPr>
    </w:p>
    <w:p>
      <w:pPr>
        <w:pStyle w:val="3"/>
        <w:jc w:val="center"/>
        <w:outlineLvl w:val="0"/>
        <w:rPr>
          <w:rFonts w:ascii="宋体" w:hAnsi="宋体" w:eastAsia="宋体" w:cs="宋体"/>
          <w:color w:val="000000"/>
          <w:sz w:val="28"/>
          <w:szCs w:val="28"/>
        </w:rPr>
      </w:pPr>
      <w:bookmarkStart w:id="101" w:name="_Toc407182676"/>
      <w:bookmarkStart w:id="102" w:name="_Toc24161"/>
      <w:bookmarkStart w:id="103" w:name="_Toc13694"/>
      <w:r>
        <w:rPr>
          <w:rFonts w:hint="eastAsia" w:ascii="宋体" w:hAnsi="宋体" w:eastAsia="宋体" w:cs="宋体"/>
          <w:color w:val="000000"/>
          <w:sz w:val="28"/>
          <w:szCs w:val="28"/>
        </w:rPr>
        <w:t>第二节 获取竞争性磋商文件</w:t>
      </w:r>
      <w:bookmarkEnd w:id="101"/>
      <w:bookmarkEnd w:id="102"/>
      <w:bookmarkEnd w:id="103"/>
    </w:p>
    <w:p>
      <w:pPr>
        <w:pStyle w:val="8"/>
        <w:spacing w:after="0" w:line="560" w:lineRule="exact"/>
        <w:ind w:left="0" w:leftChars="0"/>
        <w:rPr>
          <w:rFonts w:hAnsi="宋体" w:cs="Arial"/>
          <w:bCs/>
          <w:color w:val="000000"/>
          <w:sz w:val="24"/>
        </w:rPr>
      </w:pPr>
      <w:r>
        <w:rPr>
          <w:rFonts w:hint="eastAsia" w:hAnsi="宋体" w:cs="Arial"/>
          <w:bCs/>
          <w:color w:val="000000"/>
          <w:sz w:val="24"/>
        </w:rPr>
        <w:t>一、获取时间</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以本项目公告时间为准。如有变动，以更正公告时间为准。</w:t>
      </w:r>
    </w:p>
    <w:p>
      <w:pPr>
        <w:pStyle w:val="8"/>
        <w:spacing w:after="0" w:line="560" w:lineRule="exact"/>
        <w:ind w:left="0" w:leftChars="0"/>
        <w:rPr>
          <w:rFonts w:hAnsi="宋体" w:cs="Arial"/>
          <w:bCs/>
          <w:color w:val="000000"/>
          <w:sz w:val="24"/>
        </w:rPr>
      </w:pPr>
      <w:r>
        <w:rPr>
          <w:rFonts w:hint="eastAsia" w:hAnsi="宋体" w:cs="Arial"/>
          <w:bCs/>
          <w:color w:val="000000"/>
          <w:sz w:val="24"/>
        </w:rPr>
        <w:t>二、获取方式</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按本项目公告确定的方式获取。</w:t>
      </w:r>
    </w:p>
    <w:p>
      <w:pPr>
        <w:pStyle w:val="8"/>
        <w:spacing w:after="0" w:line="560" w:lineRule="exact"/>
        <w:ind w:left="0" w:leftChars="0"/>
        <w:rPr>
          <w:rFonts w:hAnsi="宋体" w:cs="Arial"/>
          <w:bCs/>
          <w:color w:val="000000"/>
          <w:sz w:val="24"/>
        </w:rPr>
      </w:pPr>
      <w:bookmarkStart w:id="104" w:name="_Toc407182678"/>
      <w:r>
        <w:rPr>
          <w:rFonts w:hint="eastAsia" w:hAnsi="宋体" w:cs="Arial"/>
          <w:bCs/>
          <w:color w:val="000000"/>
          <w:sz w:val="24"/>
        </w:rPr>
        <w:t>三、竞争性磋商文件的修改</w:t>
      </w:r>
    </w:p>
    <w:p>
      <w:pPr>
        <w:pStyle w:val="8"/>
        <w:spacing w:after="0" w:line="560" w:lineRule="exact"/>
        <w:ind w:left="0" w:leftChars="0" w:firstLine="480" w:firstLineChars="200"/>
        <w:rPr>
          <w:rFonts w:hAnsi="宋体" w:cs="Arial"/>
          <w:bCs/>
          <w:color w:val="000000"/>
          <w:sz w:val="24"/>
        </w:rPr>
      </w:pPr>
      <w:r>
        <w:rPr>
          <w:rFonts w:hint="eastAsia" w:hAnsi="宋体" w:cs="Arial"/>
          <w:bCs/>
          <w:color w:val="000000"/>
          <w:sz w:val="24"/>
        </w:rPr>
        <w:t>采购人根据项目实际需要，以补充文件的形式对竞争性磋商文件进行必要的修改。补充文件是竞争性磋商文件的组成部分，对所有供应商均具有约束力。</w:t>
      </w:r>
    </w:p>
    <w:p>
      <w:pPr>
        <w:pStyle w:val="9"/>
        <w:rPr>
          <w:rFonts w:hAnsi="宋体" w:cs="Arial"/>
          <w:b w:val="0"/>
          <w:bCs/>
          <w:color w:val="000000"/>
          <w:sz w:val="24"/>
        </w:rPr>
      </w:pPr>
    </w:p>
    <w:p>
      <w:pPr>
        <w:pStyle w:val="3"/>
        <w:jc w:val="center"/>
        <w:outlineLvl w:val="0"/>
        <w:rPr>
          <w:rFonts w:ascii="宋体" w:hAnsi="宋体" w:eastAsia="宋体" w:cs="宋体"/>
          <w:color w:val="000000"/>
          <w:sz w:val="28"/>
          <w:szCs w:val="28"/>
        </w:rPr>
      </w:pPr>
      <w:bookmarkStart w:id="105" w:name="_Toc12438"/>
      <w:bookmarkStart w:id="106" w:name="_Toc27634"/>
      <w:r>
        <w:rPr>
          <w:rFonts w:hint="eastAsia" w:ascii="宋体" w:hAnsi="宋体" w:eastAsia="宋体" w:cs="宋体"/>
          <w:color w:val="000000"/>
          <w:sz w:val="28"/>
          <w:szCs w:val="28"/>
        </w:rPr>
        <w:t>第三节 递交响应文件</w:t>
      </w:r>
      <w:bookmarkEnd w:id="105"/>
      <w:bookmarkEnd w:id="106"/>
    </w:p>
    <w:p>
      <w:pPr>
        <w:pStyle w:val="9"/>
        <w:rPr>
          <w:rFonts w:hAnsi="宋体" w:cs="Arial"/>
          <w:b w:val="0"/>
          <w:bCs/>
          <w:color w:val="000000"/>
          <w:sz w:val="24"/>
        </w:rPr>
      </w:pPr>
    </w:p>
    <w:bookmarkEnd w:id="104"/>
    <w:p>
      <w:pPr>
        <w:pStyle w:val="8"/>
        <w:spacing w:after="0" w:line="560" w:lineRule="exact"/>
        <w:ind w:left="0" w:leftChars="0"/>
        <w:rPr>
          <w:rFonts w:hAnsi="宋体" w:cs="Arial"/>
          <w:bCs/>
          <w:color w:val="000000"/>
          <w:sz w:val="24"/>
        </w:rPr>
      </w:pPr>
      <w:r>
        <w:rPr>
          <w:rFonts w:hint="eastAsia" w:hAnsi="宋体" w:cs="Arial"/>
          <w:bCs/>
          <w:color w:val="000000"/>
          <w:sz w:val="24"/>
        </w:rPr>
        <w:t>一、递交时间</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pPr>
        <w:pStyle w:val="8"/>
        <w:spacing w:after="0" w:line="560" w:lineRule="exact"/>
        <w:ind w:left="0" w:leftChars="0"/>
        <w:rPr>
          <w:rFonts w:hAnsi="宋体" w:cs="Arial"/>
          <w:bCs/>
          <w:color w:val="000000"/>
          <w:sz w:val="24"/>
        </w:rPr>
      </w:pPr>
      <w:r>
        <w:rPr>
          <w:rFonts w:hint="eastAsia" w:hAnsi="宋体" w:cs="Arial"/>
          <w:bCs/>
          <w:color w:val="000000"/>
          <w:sz w:val="24"/>
        </w:rPr>
        <w:t>二、 递交地点</w:t>
      </w:r>
    </w:p>
    <w:p>
      <w:pPr>
        <w:pStyle w:val="8"/>
        <w:spacing w:after="0" w:line="560" w:lineRule="exact"/>
        <w:ind w:left="0" w:leftChars="0" w:firstLine="480" w:firstLineChars="200"/>
        <w:rPr>
          <w:rFonts w:hint="default" w:hAnsi="宋体" w:eastAsia="宋体" w:cs="Arial"/>
          <w:color w:val="000000"/>
          <w:sz w:val="24"/>
          <w:lang w:val="en-US" w:eastAsia="zh-CN"/>
        </w:rPr>
      </w:pPr>
      <w:r>
        <w:rPr>
          <w:rFonts w:hint="eastAsia" w:hAnsi="宋体"/>
          <w:color w:val="000000"/>
          <w:sz w:val="24"/>
        </w:rPr>
        <w:t>贵</w:t>
      </w:r>
      <w:r>
        <w:rPr>
          <w:rFonts w:hint="eastAsia" w:hAnsi="宋体"/>
          <w:color w:val="000000"/>
          <w:sz w:val="24"/>
          <w:lang w:val="en-US" w:eastAsia="zh-CN"/>
        </w:rPr>
        <w:t>州金泰利粮油发展</w:t>
      </w:r>
      <w:r>
        <w:rPr>
          <w:rFonts w:hint="eastAsia" w:hAnsi="宋体"/>
          <w:color w:val="000000"/>
          <w:sz w:val="24"/>
        </w:rPr>
        <w:t>有限公司</w:t>
      </w:r>
      <w:r>
        <w:rPr>
          <w:rFonts w:hint="eastAsia" w:hAnsi="宋体" w:cs="Arial"/>
          <w:color w:val="000000"/>
          <w:sz w:val="24"/>
        </w:rPr>
        <w:t>，地址：</w:t>
      </w:r>
      <w:r>
        <w:rPr>
          <w:rFonts w:hint="eastAsia" w:hAnsi="宋体" w:cs="宋体"/>
          <w:color w:val="000000"/>
          <w:sz w:val="24"/>
        </w:rPr>
        <w:t>贵阳</w:t>
      </w:r>
      <w:r>
        <w:rPr>
          <w:rFonts w:hint="eastAsia" w:hAnsi="宋体" w:cs="宋体"/>
          <w:color w:val="000000"/>
          <w:sz w:val="24"/>
          <w:lang w:val="en-US" w:eastAsia="zh-CN"/>
        </w:rPr>
        <w:t>市白云区粑粑坳粮食仓库贵州金泰利粮油发展有限公司综合部。</w:t>
      </w:r>
    </w:p>
    <w:p>
      <w:pPr>
        <w:pStyle w:val="8"/>
        <w:spacing w:after="0" w:line="560" w:lineRule="exact"/>
        <w:ind w:left="0" w:leftChars="0"/>
        <w:rPr>
          <w:rFonts w:hAnsi="宋体" w:cs="Arial"/>
          <w:bCs/>
          <w:color w:val="000000"/>
          <w:sz w:val="24"/>
        </w:rPr>
      </w:pPr>
      <w:r>
        <w:rPr>
          <w:rFonts w:hint="eastAsia" w:hAnsi="宋体" w:cs="Arial"/>
          <w:bCs/>
          <w:color w:val="000000"/>
          <w:sz w:val="24"/>
        </w:rPr>
        <w:t>三、递交要求</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响应文件正本</w:t>
      </w:r>
      <w:r>
        <w:rPr>
          <w:rFonts w:hint="eastAsia" w:hAnsi="宋体" w:cs="Arial"/>
          <w:color w:val="000000"/>
          <w:sz w:val="24"/>
          <w:lang w:val="en-US" w:eastAsia="zh-CN"/>
        </w:rPr>
        <w:t>壹</w:t>
      </w:r>
      <w:r>
        <w:rPr>
          <w:rFonts w:hint="eastAsia" w:hAnsi="宋体" w:cs="Arial"/>
          <w:color w:val="000000"/>
          <w:sz w:val="24"/>
        </w:rPr>
        <w:t>份、副本</w:t>
      </w:r>
      <w:r>
        <w:rPr>
          <w:rFonts w:hint="eastAsia" w:hAnsi="宋体" w:cs="Arial"/>
          <w:color w:val="000000"/>
          <w:sz w:val="24"/>
          <w:lang w:val="en-US" w:eastAsia="zh-CN"/>
        </w:rPr>
        <w:t>壹</w:t>
      </w:r>
      <w:r>
        <w:rPr>
          <w:rFonts w:hint="eastAsia" w:hAnsi="宋体" w:cs="Arial"/>
          <w:color w:val="000000"/>
          <w:sz w:val="24"/>
        </w:rPr>
        <w:t>份，须注明项目名称和供应商名称。递交文件不完整的作无效竞争性磋商处理。</w:t>
      </w:r>
    </w:p>
    <w:p>
      <w:pPr>
        <w:pStyle w:val="9"/>
        <w:rPr>
          <w:rFonts w:hAnsi="宋体" w:cs="Arial"/>
          <w:color w:val="000000"/>
          <w:sz w:val="24"/>
        </w:rPr>
      </w:pPr>
    </w:p>
    <w:p>
      <w:pPr>
        <w:pStyle w:val="9"/>
        <w:rPr>
          <w:rFonts w:hAnsi="宋体" w:cs="Arial"/>
          <w:color w:val="000000"/>
          <w:sz w:val="24"/>
        </w:rPr>
      </w:pPr>
    </w:p>
    <w:p>
      <w:pPr>
        <w:pStyle w:val="8"/>
        <w:spacing w:after="0" w:line="560" w:lineRule="exact"/>
        <w:ind w:left="0" w:leftChars="0"/>
        <w:jc w:val="center"/>
        <w:outlineLvl w:val="0"/>
        <w:rPr>
          <w:rFonts w:hAnsi="宋体" w:cs="Arial"/>
          <w:b/>
          <w:color w:val="000000"/>
          <w:sz w:val="28"/>
          <w:szCs w:val="28"/>
        </w:rPr>
      </w:pPr>
      <w:bookmarkStart w:id="107" w:name="_Toc407182679"/>
      <w:bookmarkStart w:id="108" w:name="_Toc25576"/>
      <w:r>
        <w:rPr>
          <w:rFonts w:hint="eastAsia" w:hAnsi="宋体" w:cs="Arial"/>
          <w:b/>
          <w:color w:val="000000"/>
          <w:sz w:val="28"/>
          <w:szCs w:val="28"/>
        </w:rPr>
        <w:t xml:space="preserve">第四节 </w:t>
      </w:r>
      <w:bookmarkEnd w:id="107"/>
      <w:r>
        <w:rPr>
          <w:rFonts w:hint="eastAsia" w:hAnsi="宋体" w:cs="Arial"/>
          <w:b/>
          <w:color w:val="000000"/>
          <w:sz w:val="28"/>
          <w:szCs w:val="28"/>
        </w:rPr>
        <w:t>竞争性磋商</w:t>
      </w:r>
      <w:bookmarkEnd w:id="108"/>
    </w:p>
    <w:p>
      <w:pPr>
        <w:pStyle w:val="8"/>
        <w:spacing w:after="0" w:line="560" w:lineRule="exact"/>
        <w:ind w:left="0" w:leftChars="0"/>
        <w:rPr>
          <w:rFonts w:hAnsi="宋体" w:cs="Arial"/>
          <w:bCs/>
          <w:color w:val="000000"/>
          <w:sz w:val="24"/>
        </w:rPr>
      </w:pPr>
      <w:r>
        <w:rPr>
          <w:rFonts w:hint="eastAsia" w:hAnsi="宋体" w:cs="Arial"/>
          <w:bCs/>
          <w:color w:val="000000"/>
          <w:sz w:val="24"/>
        </w:rPr>
        <w:t>一、竞争性磋商时间</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以本项目公告时间为准。如发布变更公告的，以变更公告时间为准。</w:t>
      </w:r>
    </w:p>
    <w:p>
      <w:pPr>
        <w:pStyle w:val="8"/>
        <w:spacing w:after="0" w:line="560" w:lineRule="exact"/>
        <w:ind w:left="0" w:leftChars="0"/>
        <w:rPr>
          <w:rFonts w:hAnsi="宋体" w:cs="Arial"/>
          <w:bCs/>
          <w:color w:val="000000"/>
          <w:sz w:val="24"/>
        </w:rPr>
      </w:pPr>
      <w:r>
        <w:rPr>
          <w:rFonts w:hint="eastAsia" w:hAnsi="宋体" w:cs="Arial"/>
          <w:bCs/>
          <w:color w:val="000000"/>
          <w:sz w:val="24"/>
        </w:rPr>
        <w:t>二、竞争性磋商地点</w:t>
      </w:r>
    </w:p>
    <w:p>
      <w:pPr>
        <w:pStyle w:val="8"/>
        <w:spacing w:after="0" w:line="560" w:lineRule="exact"/>
        <w:ind w:left="0" w:leftChars="0" w:firstLine="480" w:firstLineChars="200"/>
        <w:rPr>
          <w:rFonts w:hint="eastAsia" w:hAnsi="宋体" w:cs="宋体"/>
          <w:color w:val="000000"/>
          <w:sz w:val="24"/>
          <w:lang w:val="en-US" w:eastAsia="zh-CN"/>
        </w:rPr>
      </w:pPr>
      <w:r>
        <w:rPr>
          <w:rFonts w:hint="eastAsia" w:hAnsi="宋体"/>
          <w:color w:val="000000"/>
          <w:sz w:val="24"/>
        </w:rPr>
        <w:t>贵</w:t>
      </w:r>
      <w:r>
        <w:rPr>
          <w:rFonts w:hint="eastAsia" w:hAnsi="宋体"/>
          <w:color w:val="000000"/>
          <w:sz w:val="24"/>
          <w:lang w:val="en-US" w:eastAsia="zh-CN"/>
        </w:rPr>
        <w:t>州金泰利粮油发展</w:t>
      </w:r>
      <w:r>
        <w:rPr>
          <w:rFonts w:hint="eastAsia" w:hAnsi="宋体"/>
          <w:color w:val="000000"/>
          <w:sz w:val="24"/>
        </w:rPr>
        <w:t>有限公司</w:t>
      </w:r>
      <w:r>
        <w:rPr>
          <w:rFonts w:hint="eastAsia" w:hAnsi="宋体" w:cs="Arial"/>
          <w:color w:val="000000"/>
          <w:sz w:val="24"/>
        </w:rPr>
        <w:t>，地址：</w:t>
      </w:r>
      <w:r>
        <w:rPr>
          <w:rFonts w:hint="eastAsia" w:hAnsi="宋体" w:cs="宋体"/>
          <w:color w:val="000000"/>
          <w:sz w:val="24"/>
        </w:rPr>
        <w:t>贵阳</w:t>
      </w:r>
      <w:r>
        <w:rPr>
          <w:rFonts w:hint="eastAsia" w:hAnsi="宋体" w:cs="宋体"/>
          <w:color w:val="000000"/>
          <w:sz w:val="24"/>
          <w:lang w:val="en-US" w:eastAsia="zh-CN"/>
        </w:rPr>
        <w:t>市白云区粑粑坳粮食仓库贵州金泰利粮油发展有限公司。</w:t>
      </w:r>
    </w:p>
    <w:p>
      <w:pPr>
        <w:pStyle w:val="8"/>
        <w:spacing w:after="0" w:line="560" w:lineRule="exact"/>
        <w:ind w:left="0" w:leftChars="0"/>
        <w:rPr>
          <w:rFonts w:hAnsi="宋体" w:cs="Arial"/>
          <w:bCs/>
          <w:color w:val="000000"/>
          <w:sz w:val="24"/>
        </w:rPr>
      </w:pPr>
      <w:r>
        <w:rPr>
          <w:rFonts w:hint="eastAsia" w:hAnsi="宋体" w:cs="Arial"/>
          <w:bCs/>
          <w:color w:val="000000"/>
          <w:sz w:val="24"/>
        </w:rPr>
        <w:t>三、竞争性磋商流程</w:t>
      </w:r>
    </w:p>
    <w:p>
      <w:pPr>
        <w:pStyle w:val="8"/>
        <w:spacing w:after="0" w:line="560" w:lineRule="exact"/>
        <w:ind w:left="0" w:leftChars="0"/>
        <w:rPr>
          <w:rFonts w:hAnsi="宋体" w:cs="Arial"/>
          <w:color w:val="000000"/>
          <w:sz w:val="24"/>
        </w:rPr>
      </w:pPr>
      <w:r>
        <w:rPr>
          <w:rFonts w:hint="eastAsia" w:hAnsi="宋体" w:cs="Arial"/>
          <w:color w:val="000000"/>
          <w:sz w:val="24"/>
        </w:rPr>
        <w:t>1. 会议签到：采购人工作人员于竞争性磋商截止时间前20分钟到会议室组织采购人、监督部门相关人员签到。并将竞争性磋商环节所需表格文档资料填写、准备齐全。</w:t>
      </w:r>
    </w:p>
    <w:p>
      <w:pPr>
        <w:pStyle w:val="8"/>
        <w:spacing w:after="0" w:line="560" w:lineRule="exact"/>
        <w:ind w:left="0" w:leftChars="0"/>
        <w:rPr>
          <w:rFonts w:hAnsi="宋体" w:cs="Arial"/>
          <w:color w:val="000000"/>
          <w:sz w:val="24"/>
        </w:rPr>
      </w:pPr>
      <w:r>
        <w:rPr>
          <w:rFonts w:hint="eastAsia" w:hAnsi="宋体" w:cs="Arial"/>
          <w:color w:val="000000"/>
          <w:sz w:val="24"/>
        </w:rPr>
        <w:t>2.专家签到：竞争性磋商小组成员签到。</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3.初步审查：竞争性磋商小组严格依据响应文件所提供的资料，对照《初步审查表》所列内容对供应商进行资格性审查及符合性审查，审查通过的供应商进入竞争性磋商环节。未通过初步审查的响应文件不参与最后报价。通过初步审查的供应商不足三家的，本项目终止，该次竞争性磋商工作结束。发布项目终止公告并说明原因。</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b/>
          <w:bCs/>
          <w:color w:val="000000"/>
          <w:sz w:val="24"/>
        </w:rPr>
      </w:pPr>
      <w:r>
        <w:rPr>
          <w:rFonts w:hint="eastAsia" w:hAnsi="宋体" w:cs="Arial"/>
          <w:b/>
          <w:bCs/>
          <w:color w:val="000000"/>
          <w:sz w:val="24"/>
        </w:rPr>
        <w:t>(1) 资格性检查：</w:t>
      </w:r>
      <w:r>
        <w:rPr>
          <w:rFonts w:hint="eastAsia" w:hAnsi="宋体" w:cs="Arial"/>
          <w:color w:val="000000"/>
          <w:sz w:val="24"/>
        </w:rPr>
        <w:t>竞争性磋商小组根据法律法规和竞争性磋商文件《初步审查表》中所列供应商资格要求，对供应商资格证明文件的齐全性和有效性进行审查。</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(2) 符合性检查：</w:t>
      </w:r>
      <w:r>
        <w:rPr>
          <w:rFonts w:hint="eastAsia" w:hAnsi="宋体" w:cs="Arial"/>
          <w:color w:val="000000"/>
          <w:sz w:val="24"/>
        </w:rPr>
        <w:t>竞争性磋商小组审查响应文件是否对采购文件作了实质性响应。技术符合性：方案的适用性、成熟性等符合竞争性磋商文件要求，无实质性负偏离、反对、设定条件或提出保留；商务符合性：响应文件的组成、响应文件的完整性和有效性、竞争性磋商有效期等符合竞争性磋商文件规定，竞争性磋商文件提出的主要条款、条件无实质性负偏离、反对、设定条件或提出保留。</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(3) 无效标检查：</w:t>
      </w:r>
      <w:r>
        <w:rPr>
          <w:rFonts w:hint="eastAsia" w:hAnsi="宋体" w:cs="Arial"/>
          <w:color w:val="000000"/>
          <w:sz w:val="24"/>
        </w:rPr>
        <w:t>根据竞争性磋商文件中的无效标条款，检查供应商的竞争性磋商是否属于无效标。</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5.竞争性磋商：</w:t>
      </w:r>
      <w:r>
        <w:rPr>
          <w:rFonts w:hint="eastAsia" w:hAnsi="宋体" w:cs="Arial"/>
          <w:color w:val="000000"/>
          <w:sz w:val="24"/>
        </w:rPr>
        <w:t>竞争性磋商小组所有成员集中与单一供应商分别进行竞争性磋商。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认，并以书面形式通知所有参加竞争性磋商供应商。在竞争性磋商中，竞争性磋商的任何一方不得透露与竞争性磋商有关的其他供应商的技术资料、价格和其他信息。</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6.最后报价：</w:t>
      </w:r>
      <w:r>
        <w:rPr>
          <w:rFonts w:hint="eastAsia" w:hAnsi="宋体" w:cs="Arial"/>
          <w:color w:val="000000"/>
          <w:sz w:val="24"/>
        </w:rPr>
        <w:t>竞争性磋商结束后，竞争性磋商小组要求所有参加竞争性磋商的供应商按照竞争性磋商文件的变动情况和竞争性磋商小组的要求在规定时间内进行最后报价，并由其法定代表人或授权代表签字或者加盖公章。最后报价是供应商响应文件的有效组成部分，并作为价格分计算依据。</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7.综合评分：</w:t>
      </w:r>
      <w:r>
        <w:rPr>
          <w:rFonts w:hint="eastAsia" w:hAnsi="宋体" w:cs="Arial"/>
          <w:color w:val="000000"/>
          <w:sz w:val="24"/>
        </w:rPr>
        <w:t>竞争性磋商小组严格按照评分表逐项对响应文件进行评分。评分依据为响应文件提供的有效资料。响应文件中未提供的资料、未明确的内容，竞争性磋商小组不得以个人的意愿、猜想、推测等方式得出的结论作为评分依据。评审专家须独立评分，不得相互抄袭评分分值（价格分除外）。</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8.评分汇总：</w:t>
      </w:r>
      <w:r>
        <w:rPr>
          <w:rFonts w:hint="eastAsia" w:hAnsi="宋体" w:cs="Arial"/>
          <w:color w:val="000000"/>
          <w:sz w:val="24"/>
        </w:rPr>
        <w:t>采购人将各竞争性磋商小组的评分表进行汇总，评分汇总表保留两位小数，按最终得分由高至低依次对供应商进行推荐排序。得分相同的，竞争性磋商报价由低到高顺序排列；得分且竞争性磋商报价相同的，按技术得分由高至低顺序排列。评分表汇总后，竞争性磋商小组不得再更改各项打分分值（价格分及总分计算错误除外）。</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9.评审报告：</w:t>
      </w:r>
      <w:r>
        <w:rPr>
          <w:rFonts w:hint="eastAsia" w:hAnsi="宋体" w:cs="Arial"/>
          <w:color w:val="000000"/>
          <w:sz w:val="24"/>
        </w:rPr>
        <w:t>竞争性磋商小组根据评分汇总情况及排序情况，编写评审报告。竞争性磋商小组成员须在评审报告上签字确认。</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10.评审复核：</w:t>
      </w:r>
      <w:r>
        <w:rPr>
          <w:rFonts w:hint="eastAsia" w:hAnsi="宋体" w:cs="Arial"/>
          <w:color w:val="000000"/>
          <w:sz w:val="24"/>
        </w:rPr>
        <w:t>竞争性磋商小组对评审环节和评审结果进行复核。竞争性磋商小组可对评审过程和结果中存在的遗漏或偏差进行修正，完成复核后，确定竞争性磋商结果及推荐排序。评审报告应当由竞争性磋商小组全体人员签字认可。竞争性磋商小组成员对评审报告有异议的，按照少数服从多数的原则推荐成交候选人，采购程序继续进行。对评审报告有异议的竞争性磋商小组成员，应当在报告上签署不同意见并说明理由，由竞争性磋商小组书面记录相关情况。竞争性磋商小组成员拒绝在报告上签字又不书面说明其不同意见和理由的，视为同意评审报告。</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b/>
          <w:bCs/>
          <w:color w:val="000000"/>
          <w:sz w:val="24"/>
        </w:rPr>
        <w:t>11.竞争性磋商结束：</w:t>
      </w:r>
      <w:r>
        <w:rPr>
          <w:rFonts w:hint="eastAsia" w:hAnsi="宋体" w:cs="Arial"/>
          <w:color w:val="000000"/>
          <w:sz w:val="24"/>
        </w:rPr>
        <w:t>竞争性磋商小组出具评审报告并复核无误后，竞争性磋商工作结束。竞争性磋商小组成员方可离开评审区域。</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注1：当初步审查结果确定有效供应商不足三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注2：竞争性磋商之后，至成交公告发布之前，凡涉及响应文件的澄清、评价、推荐排序等需保密的信息，竞争性磋商小组成员均不得向供应商人或其他人员透露。</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注3：竞争性磋商过程资料由竞争性磋商小组成员整理汇编留存。</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b/>
          <w:bCs/>
          <w:color w:val="000000"/>
          <w:sz w:val="24"/>
        </w:rPr>
      </w:pPr>
      <w:r>
        <w:rPr>
          <w:rFonts w:hint="eastAsia" w:hAnsi="宋体" w:cs="Arial"/>
          <w:b/>
          <w:bCs/>
          <w:color w:val="000000"/>
          <w:sz w:val="24"/>
        </w:rPr>
        <w:t>二、竞争性磋商小组</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firstLine="480" w:firstLineChars="200"/>
        <w:textAlignment w:val="auto"/>
        <w:rPr>
          <w:rFonts w:hAnsi="宋体" w:cs="Arial"/>
          <w:color w:val="000000"/>
          <w:sz w:val="24"/>
        </w:rPr>
      </w:pPr>
      <w:r>
        <w:rPr>
          <w:rFonts w:hint="eastAsia" w:hAnsi="宋体" w:cs="Arial"/>
          <w:color w:val="000000"/>
          <w:sz w:val="24"/>
        </w:rPr>
        <w:t>竞争性磋商小组由采购人组织3人以上单数组成。竞争性磋商小组成员应以科学、公正的态度参加采购评审工作，在评审过程中不受任何干扰，独立、负责地提出评审意见，并对自己的评审意见承担责任。</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b/>
          <w:bCs/>
          <w:color w:val="000000"/>
          <w:sz w:val="24"/>
        </w:rPr>
      </w:pPr>
      <w:r>
        <w:rPr>
          <w:rFonts w:hint="eastAsia" w:hAnsi="宋体" w:cs="Arial"/>
          <w:b/>
          <w:bCs/>
          <w:color w:val="000000"/>
          <w:sz w:val="24"/>
        </w:rPr>
        <w:t>1. 竞争性磋商小组在采购活动过程中应当履行下列职责：</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 xml:space="preserve">（1）确认或者制定竞争性磋商文件； </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（2）从符合相应资格条件的供应商名单中确定不少于三家的供应商参加竞争性磋商；</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（3）审查供应商的响应文件并作出评价；</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（4）要求供应商解释或者澄清其响应文件；</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 xml:space="preserve">（5）编写评审报告； </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（6）告知采购人在评审过程中发现的供应商的违法违规行为。</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b/>
          <w:bCs/>
          <w:color w:val="000000"/>
          <w:sz w:val="24"/>
        </w:rPr>
      </w:pPr>
      <w:r>
        <w:rPr>
          <w:rFonts w:hint="eastAsia" w:hAnsi="宋体" w:cs="Arial"/>
          <w:b/>
          <w:bCs/>
          <w:color w:val="000000"/>
          <w:sz w:val="24"/>
        </w:rPr>
        <w:t>2. 竞争性磋商小组成员应当履行下列义务：</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bookmarkStart w:id="109" w:name="_Toc407182680"/>
      <w:r>
        <w:rPr>
          <w:rFonts w:hint="eastAsia" w:hAnsi="宋体" w:cs="Arial"/>
          <w:color w:val="000000"/>
          <w:sz w:val="24"/>
        </w:rPr>
        <w:t>（1）遵纪守法，客观、公正、廉洁地履行职责；</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（2）根据竞争性磋商文件的规定独立进行评审，对个人的评审意见承担法律责任；</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（3）参与评审报告的起草；</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color w:val="000000"/>
          <w:sz w:val="24"/>
        </w:rPr>
      </w:pPr>
      <w:r>
        <w:rPr>
          <w:rFonts w:hint="eastAsia" w:hAnsi="宋体" w:cs="Arial"/>
          <w:color w:val="000000"/>
          <w:sz w:val="24"/>
        </w:rPr>
        <w:t>（4）配合采购人答复供应商提出的质疑；</w:t>
      </w:r>
    </w:p>
    <w:p>
      <w:pPr>
        <w:pStyle w:val="8"/>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Ansi="宋体" w:cs="Arial"/>
          <w:b w:val="0"/>
          <w:color w:val="000000"/>
          <w:sz w:val="24"/>
        </w:rPr>
      </w:pPr>
      <w:r>
        <w:rPr>
          <w:rFonts w:hint="eastAsia" w:hAnsi="宋体" w:cs="Arial"/>
          <w:color w:val="000000"/>
          <w:sz w:val="24"/>
        </w:rPr>
        <w:t>（5）配合项目有关投诉处理和监督检查工作。</w:t>
      </w:r>
    </w:p>
    <w:p>
      <w:pPr>
        <w:pStyle w:val="9"/>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Ansi="宋体" w:cs="Arial"/>
          <w:bCs/>
          <w:color w:val="000000"/>
          <w:sz w:val="24"/>
        </w:rPr>
      </w:pPr>
      <w:r>
        <w:rPr>
          <w:rFonts w:hint="eastAsia" w:hAnsi="宋体" w:cs="Arial"/>
          <w:bCs/>
          <w:color w:val="000000"/>
          <w:sz w:val="24"/>
        </w:rPr>
        <w:t>三、询标与澄清</w:t>
      </w:r>
    </w:p>
    <w:p>
      <w:pPr>
        <w:pStyle w:val="9"/>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Ansi="宋体" w:cs="Arial"/>
          <w:b w:val="0"/>
          <w:color w:val="000000"/>
          <w:sz w:val="24"/>
        </w:rPr>
      </w:pPr>
      <w:r>
        <w:rPr>
          <w:rFonts w:hint="eastAsia" w:hAnsi="宋体" w:cs="Arial"/>
          <w:b w:val="0"/>
          <w:color w:val="000000"/>
          <w:sz w:val="24"/>
        </w:rPr>
        <w:t>（一）评审过程中，竞争性磋商小组发现响应文件存在含义不明、表述不清、有歧义等情况，实质性影响评审结果的，竞争性磋商小组可书面向供应商进行询标，要求供应商对询问的问题进行澄清。供应商须在通知的时间内进行书面答疑和澄清。供应商未在通知的时间内进行答疑和澄清的，视为放弃澄清。</w:t>
      </w:r>
    </w:p>
    <w:p>
      <w:pPr>
        <w:pStyle w:val="9"/>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Ansi="宋体" w:cs="Arial"/>
          <w:b w:val="0"/>
          <w:color w:val="000000"/>
          <w:sz w:val="24"/>
        </w:rPr>
      </w:pPr>
      <w:r>
        <w:rPr>
          <w:rFonts w:hint="eastAsia" w:hAnsi="宋体" w:cs="Arial"/>
          <w:b w:val="0"/>
          <w:color w:val="000000"/>
          <w:sz w:val="24"/>
        </w:rPr>
        <w:t>（二）供应商的答疑和澄清须为书面形式，须由供应商授权代表签字或加盖供应商公章。书面澄清文件为响应文件的组成部分。</w:t>
      </w:r>
    </w:p>
    <w:p>
      <w:pPr>
        <w:pStyle w:val="9"/>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Ansi="宋体" w:cs="Arial"/>
          <w:b w:val="0"/>
          <w:color w:val="000000"/>
          <w:sz w:val="24"/>
        </w:rPr>
      </w:pPr>
      <w:r>
        <w:rPr>
          <w:rFonts w:hint="eastAsia" w:hAnsi="宋体" w:cs="Arial"/>
          <w:b w:val="0"/>
          <w:color w:val="000000"/>
          <w:sz w:val="24"/>
        </w:rPr>
        <w:t>（三）供应商对响应文件的澄清不得超出响应文件的范围或改变响应报价等实质性内容。澄清和补正应遵循公平公正的原则，供应商的澄清补正不得对其他供应商造成不公平不公正的结果或影响，如有，竞争性磋商小组应拒绝其澄清。</w:t>
      </w:r>
    </w:p>
    <w:p>
      <w:pPr>
        <w:pStyle w:val="8"/>
        <w:spacing w:after="0" w:line="560" w:lineRule="exact"/>
        <w:ind w:left="0" w:leftChars="0"/>
        <w:jc w:val="center"/>
        <w:outlineLvl w:val="0"/>
        <w:rPr>
          <w:rFonts w:hAnsi="宋体" w:cs="Arial"/>
          <w:b/>
          <w:bCs/>
          <w:color w:val="000000"/>
          <w:sz w:val="32"/>
          <w:szCs w:val="22"/>
        </w:rPr>
      </w:pPr>
      <w:bookmarkStart w:id="110" w:name="_Toc19575"/>
      <w:r>
        <w:rPr>
          <w:rFonts w:hint="eastAsia" w:hAnsi="宋体" w:cs="Arial"/>
          <w:b/>
          <w:bCs/>
          <w:color w:val="000000"/>
          <w:sz w:val="32"/>
          <w:szCs w:val="22"/>
        </w:rPr>
        <w:t>第五节 发送</w:t>
      </w:r>
      <w:bookmarkEnd w:id="109"/>
      <w:r>
        <w:rPr>
          <w:rFonts w:hint="eastAsia" w:hAnsi="宋体" w:cs="Arial"/>
          <w:b/>
          <w:bCs/>
          <w:color w:val="000000"/>
          <w:sz w:val="32"/>
          <w:szCs w:val="22"/>
        </w:rPr>
        <w:t>成交公告</w:t>
      </w:r>
      <w:bookmarkEnd w:id="110"/>
    </w:p>
    <w:p>
      <w:pPr>
        <w:pStyle w:val="8"/>
        <w:spacing w:after="0" w:line="560" w:lineRule="exact"/>
        <w:ind w:left="0" w:leftChars="0"/>
        <w:rPr>
          <w:rFonts w:hAnsi="宋体" w:cs="Arial"/>
          <w:color w:val="000000"/>
          <w:sz w:val="24"/>
        </w:rPr>
      </w:pPr>
      <w:bookmarkStart w:id="111" w:name="_Toc407182681"/>
      <w:r>
        <w:rPr>
          <w:rFonts w:hint="eastAsia" w:hAnsi="宋体" w:cs="Arial"/>
          <w:color w:val="000000"/>
          <w:sz w:val="24"/>
        </w:rPr>
        <w:t>一、公告发布媒体</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详见第一章响应邀请</w:t>
      </w:r>
    </w:p>
    <w:p>
      <w:pPr>
        <w:pStyle w:val="8"/>
        <w:spacing w:after="0" w:line="560" w:lineRule="exact"/>
        <w:ind w:left="0" w:leftChars="0"/>
        <w:rPr>
          <w:rFonts w:hAnsi="宋体" w:cs="Arial"/>
          <w:color w:val="000000"/>
          <w:sz w:val="24"/>
        </w:rPr>
      </w:pPr>
      <w:r>
        <w:rPr>
          <w:rFonts w:hint="eastAsia" w:hAnsi="宋体" w:cs="Arial"/>
          <w:color w:val="000000"/>
          <w:sz w:val="24"/>
        </w:rPr>
        <w:t>二、公告发布主体</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lang w:val="en-US" w:eastAsia="zh-CN"/>
        </w:rPr>
        <w:t>贵州金泰利粮油发展</w:t>
      </w:r>
      <w:r>
        <w:rPr>
          <w:rFonts w:hint="eastAsia" w:hAnsi="宋体" w:cs="Arial"/>
          <w:color w:val="000000"/>
          <w:sz w:val="24"/>
        </w:rPr>
        <w:t>有限公司根据评审报告将评审结果进行公示。供应商可在第一部分第一章投标邀请“发布公告媒体”上查询结果信息。</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成交公告期限为1个工作日。</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p>
      <w:pPr>
        <w:pStyle w:val="9"/>
        <w:rPr>
          <w:color w:val="000000"/>
        </w:rPr>
      </w:pPr>
    </w:p>
    <w:p>
      <w:pPr>
        <w:pStyle w:val="9"/>
        <w:rPr>
          <w:color w:val="000000"/>
        </w:rPr>
      </w:pPr>
    </w:p>
    <w:bookmarkEnd w:id="111"/>
    <w:p>
      <w:pPr>
        <w:pStyle w:val="8"/>
        <w:spacing w:after="0" w:line="560" w:lineRule="exact"/>
        <w:ind w:left="0" w:leftChars="0"/>
        <w:jc w:val="center"/>
        <w:outlineLvl w:val="0"/>
        <w:rPr>
          <w:rFonts w:hAnsi="宋体" w:cs="Arial"/>
          <w:b/>
          <w:bCs/>
          <w:color w:val="000000"/>
          <w:sz w:val="32"/>
          <w:szCs w:val="22"/>
        </w:rPr>
      </w:pPr>
      <w:bookmarkStart w:id="112" w:name="_Toc18981"/>
      <w:bookmarkStart w:id="113" w:name="_Toc407182682"/>
      <w:r>
        <w:rPr>
          <w:rFonts w:hint="eastAsia" w:hAnsi="宋体" w:cs="Arial"/>
          <w:b/>
          <w:bCs/>
          <w:color w:val="000000"/>
          <w:sz w:val="32"/>
          <w:szCs w:val="22"/>
        </w:rPr>
        <w:t>第六节 签订采购合同</w:t>
      </w:r>
      <w:bookmarkEnd w:id="112"/>
      <w:bookmarkEnd w:id="113"/>
    </w:p>
    <w:p>
      <w:pPr>
        <w:spacing w:line="560" w:lineRule="exact"/>
        <w:rPr>
          <w:color w:val="000000"/>
          <w:sz w:val="24"/>
          <w:szCs w:val="24"/>
        </w:rPr>
      </w:pPr>
      <w:r>
        <w:rPr>
          <w:rFonts w:hint="eastAsia"/>
          <w:color w:val="000000"/>
          <w:sz w:val="24"/>
          <w:szCs w:val="24"/>
        </w:rPr>
        <w:t>一、签订时间</w:t>
      </w:r>
    </w:p>
    <w:p>
      <w:pPr>
        <w:spacing w:line="560" w:lineRule="exact"/>
        <w:ind w:firstLine="480" w:firstLineChars="200"/>
        <w:rPr>
          <w:color w:val="000000"/>
          <w:sz w:val="24"/>
          <w:szCs w:val="24"/>
        </w:rPr>
      </w:pPr>
      <w:r>
        <w:rPr>
          <w:rFonts w:hint="eastAsia"/>
          <w:color w:val="000000"/>
          <w:sz w:val="24"/>
          <w:szCs w:val="24"/>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pPr>
        <w:spacing w:line="560" w:lineRule="exact"/>
        <w:rPr>
          <w:color w:val="000000"/>
          <w:sz w:val="24"/>
          <w:szCs w:val="24"/>
        </w:rPr>
      </w:pPr>
      <w:r>
        <w:rPr>
          <w:rFonts w:hint="eastAsia"/>
          <w:color w:val="000000"/>
          <w:sz w:val="24"/>
          <w:szCs w:val="24"/>
        </w:rPr>
        <w:t>二、合同内容</w:t>
      </w:r>
    </w:p>
    <w:p>
      <w:pPr>
        <w:spacing w:line="560" w:lineRule="exact"/>
        <w:ind w:firstLine="480" w:firstLineChars="200"/>
        <w:rPr>
          <w:color w:val="000000"/>
          <w:sz w:val="24"/>
          <w:szCs w:val="24"/>
        </w:rPr>
      </w:pPr>
      <w:r>
        <w:rPr>
          <w:rFonts w:hint="eastAsia"/>
          <w:color w:val="000000"/>
          <w:sz w:val="24"/>
          <w:szCs w:val="24"/>
        </w:rPr>
        <w:t>成交供应商与采购人须按照本项目的竞争性磋商文件和响应文件所载内容及评审过程中有关澄清文件内容签订采购合同。</w:t>
      </w:r>
    </w:p>
    <w:p>
      <w:pPr>
        <w:spacing w:line="560" w:lineRule="exact"/>
        <w:rPr>
          <w:color w:val="000000"/>
        </w:rPr>
      </w:pPr>
    </w:p>
    <w:p>
      <w:pPr>
        <w:widowControl/>
        <w:spacing w:line="560" w:lineRule="exact"/>
        <w:jc w:val="center"/>
        <w:outlineLvl w:val="0"/>
        <w:rPr>
          <w:rFonts w:hAnsi="宋体" w:cs="宋体"/>
          <w:b/>
          <w:color w:val="000000"/>
          <w:sz w:val="28"/>
          <w:szCs w:val="28"/>
        </w:rPr>
      </w:pPr>
      <w:r>
        <w:rPr>
          <w:rFonts w:hAnsi="宋体"/>
          <w:b/>
          <w:color w:val="000000"/>
          <w:sz w:val="44"/>
          <w:szCs w:val="44"/>
        </w:rPr>
        <w:br w:type="page"/>
      </w:r>
      <w:bookmarkStart w:id="114" w:name="_Toc28928"/>
      <w:r>
        <w:rPr>
          <w:rFonts w:hint="eastAsia" w:hAnsi="宋体"/>
          <w:b/>
          <w:color w:val="000000"/>
          <w:sz w:val="32"/>
          <w:szCs w:val="32"/>
        </w:rPr>
        <w:t xml:space="preserve">第七节 </w:t>
      </w:r>
      <w:r>
        <w:rPr>
          <w:rFonts w:hint="eastAsia" w:hAnsi="宋体" w:cs="Arial"/>
          <w:b/>
          <w:bCs/>
          <w:color w:val="000000"/>
          <w:sz w:val="32"/>
          <w:szCs w:val="32"/>
        </w:rPr>
        <w:t>询问及质疑</w:t>
      </w:r>
      <w:bookmarkEnd w:id="114"/>
    </w:p>
    <w:p>
      <w:pPr>
        <w:pStyle w:val="5"/>
        <w:ind w:left="0" w:leftChars="0"/>
        <w:rPr>
          <w:color w:val="000000"/>
        </w:rPr>
      </w:pPr>
    </w:p>
    <w:p>
      <w:pPr>
        <w:spacing w:line="360" w:lineRule="auto"/>
        <w:jc w:val="left"/>
        <w:rPr>
          <w:rFonts w:hAnsi="宋体" w:cs="宋体"/>
          <w:color w:val="000000"/>
          <w:sz w:val="24"/>
          <w:szCs w:val="24"/>
        </w:rPr>
      </w:pPr>
      <w:r>
        <w:rPr>
          <w:rFonts w:hint="eastAsia" w:hAnsi="宋体" w:cs="宋体"/>
          <w:color w:val="000000"/>
          <w:sz w:val="24"/>
          <w:szCs w:val="24"/>
        </w:rPr>
        <w:t>一、询问</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供应商对采购活动事项疑问的，可以向采购人提出询问，采购人将在两个工作日内作出答复，但答复的内容不涉及商业秘密。</w:t>
      </w:r>
    </w:p>
    <w:p>
      <w:pPr>
        <w:spacing w:line="360" w:lineRule="auto"/>
        <w:jc w:val="left"/>
        <w:rPr>
          <w:rFonts w:hAnsi="宋体" w:cs="宋体"/>
          <w:color w:val="000000"/>
          <w:sz w:val="24"/>
          <w:szCs w:val="24"/>
        </w:rPr>
      </w:pPr>
      <w:r>
        <w:rPr>
          <w:rFonts w:hint="eastAsia" w:hAnsi="宋体" w:cs="宋体"/>
          <w:color w:val="000000"/>
          <w:sz w:val="24"/>
          <w:szCs w:val="24"/>
        </w:rPr>
        <w:t>二、质疑</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供应商认为竞争性磋商文件、采购过程和成交结果使自己的合法权益受到损害的，可按照《中华人民共和国财政部令第94号——政府采购质疑和投诉办法》，将质疑函原件送达至采购人。</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1.质疑函递交要求：</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（2）供应商提出质疑应当提交质疑函和必要的证明材料。质疑函应当参照财政部发布《政府采购供应商质疑函范本》。</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注：供应商为自然人的，应当由本人签字；供应商为法人或者其他组织的，应当由法定代表人（主要负责人）或者其授权代表签字，并加盖公章。</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2、供应商应在法定质疑期内一次性提出针对同一采购环节的质疑。否则，采购人可以拒收。</w:t>
      </w:r>
    </w:p>
    <w:p>
      <w:pPr>
        <w:jc w:val="center"/>
        <w:rPr>
          <w:b/>
          <w:bCs/>
          <w:color w:val="000000"/>
        </w:rPr>
      </w:pPr>
    </w:p>
    <w:p>
      <w:pPr>
        <w:pStyle w:val="5"/>
        <w:ind w:left="680"/>
        <w:rPr>
          <w:b/>
          <w:bCs/>
          <w:color w:val="000000"/>
        </w:rPr>
      </w:pPr>
    </w:p>
    <w:p>
      <w:pPr>
        <w:rPr>
          <w:b/>
          <w:bCs/>
          <w:color w:val="000000"/>
        </w:rPr>
      </w:pPr>
    </w:p>
    <w:p>
      <w:pPr>
        <w:pStyle w:val="5"/>
        <w:ind w:left="680"/>
        <w:rPr>
          <w:b/>
          <w:bCs/>
          <w:color w:val="000000"/>
        </w:rPr>
      </w:pPr>
    </w:p>
    <w:p>
      <w:pPr>
        <w:rPr>
          <w:b/>
          <w:bCs/>
          <w:color w:val="000000"/>
        </w:rPr>
      </w:pPr>
    </w:p>
    <w:p>
      <w:pPr>
        <w:pStyle w:val="5"/>
        <w:ind w:left="680"/>
        <w:rPr>
          <w:b/>
          <w:bCs/>
          <w:color w:val="000000"/>
        </w:rPr>
      </w:pPr>
    </w:p>
    <w:p>
      <w:pPr>
        <w:rPr>
          <w:b/>
          <w:bCs/>
          <w:color w:val="000000"/>
        </w:rPr>
      </w:pPr>
    </w:p>
    <w:p>
      <w:pPr>
        <w:pStyle w:val="5"/>
        <w:ind w:left="680"/>
        <w:rPr>
          <w:b/>
          <w:bCs/>
          <w:color w:val="000000"/>
        </w:rPr>
      </w:pPr>
    </w:p>
    <w:p>
      <w:pPr>
        <w:rPr>
          <w:color w:val="000000"/>
        </w:rPr>
      </w:pPr>
    </w:p>
    <w:p>
      <w:pPr>
        <w:pStyle w:val="5"/>
        <w:ind w:left="680"/>
        <w:rPr>
          <w:color w:val="000000"/>
        </w:rPr>
      </w:pPr>
    </w:p>
    <w:p>
      <w:pPr>
        <w:pStyle w:val="2"/>
        <w:spacing w:line="480" w:lineRule="auto"/>
        <w:rPr>
          <w:rFonts w:hAnsi="宋体" w:eastAsia="宋体" w:cs="宋体"/>
          <w:color w:val="000000"/>
        </w:rPr>
      </w:pPr>
      <w:bookmarkStart w:id="115" w:name="_Toc8137"/>
      <w:bookmarkStart w:id="116" w:name="_Toc1808"/>
      <w:bookmarkStart w:id="117" w:name="_Toc23924"/>
      <w:bookmarkStart w:id="118" w:name="_Toc15748"/>
      <w:bookmarkStart w:id="119" w:name="_Toc13183"/>
      <w:bookmarkStart w:id="120" w:name="_Toc20121"/>
      <w:bookmarkStart w:id="121" w:name="_Toc22426"/>
      <w:bookmarkStart w:id="122" w:name="_Toc5911"/>
      <w:bookmarkStart w:id="123" w:name="_Toc10797"/>
      <w:bookmarkStart w:id="124" w:name="_Toc32657"/>
      <w:bookmarkStart w:id="125" w:name="_Toc18949"/>
      <w:bookmarkStart w:id="126" w:name="_Toc2797"/>
      <w:r>
        <w:rPr>
          <w:rFonts w:hint="eastAsia" w:hAnsi="宋体" w:eastAsia="宋体" w:cs="宋体"/>
          <w:color w:val="000000"/>
        </w:rPr>
        <w:t xml:space="preserve">第三部分  </w:t>
      </w:r>
      <w:bookmarkEnd w:id="115"/>
      <w:bookmarkEnd w:id="116"/>
      <w:bookmarkEnd w:id="117"/>
      <w:bookmarkEnd w:id="118"/>
      <w:bookmarkEnd w:id="119"/>
      <w:bookmarkEnd w:id="120"/>
      <w:bookmarkEnd w:id="121"/>
      <w:bookmarkEnd w:id="122"/>
      <w:bookmarkEnd w:id="123"/>
      <w:bookmarkEnd w:id="124"/>
      <w:r>
        <w:rPr>
          <w:rFonts w:hint="eastAsia" w:hAnsi="宋体" w:eastAsia="宋体" w:cs="宋体"/>
          <w:color w:val="000000"/>
        </w:rPr>
        <w:t>响应文件编制规范</w:t>
      </w:r>
      <w:bookmarkEnd w:id="125"/>
      <w:bookmarkEnd w:id="126"/>
    </w:p>
    <w:p>
      <w:pPr>
        <w:pStyle w:val="20"/>
        <w:ind w:firstLine="0"/>
        <w:rPr>
          <w:color w:val="000000"/>
        </w:rPr>
      </w:pPr>
      <w:bookmarkStart w:id="127" w:name="_Toc406672412"/>
      <w:bookmarkEnd w:id="127"/>
      <w:bookmarkStart w:id="128" w:name="_Toc437426695"/>
      <w:bookmarkEnd w:id="128"/>
      <w:bookmarkStart w:id="129" w:name="_Toc406670773"/>
      <w:bookmarkEnd w:id="129"/>
      <w:bookmarkStart w:id="130" w:name="_Toc406671144"/>
      <w:bookmarkEnd w:id="130"/>
      <w:bookmarkStart w:id="131" w:name="_Toc406671716"/>
      <w:bookmarkEnd w:id="131"/>
    </w:p>
    <w:p>
      <w:pPr>
        <w:pStyle w:val="7"/>
        <w:rPr>
          <w:color w:val="000000"/>
        </w:rPr>
      </w:pPr>
    </w:p>
    <w:p>
      <w:pPr>
        <w:widowControl/>
        <w:spacing w:line="700" w:lineRule="exact"/>
        <w:jc w:val="center"/>
        <w:textAlignment w:val="baseline"/>
        <w:rPr>
          <w:rFonts w:hAnsi="宋体" w:cs="宋体"/>
          <w:b/>
          <w:color w:val="000000"/>
        </w:rPr>
      </w:pPr>
      <w:r>
        <w:rPr>
          <w:rFonts w:hint="eastAsia" w:hAnsi="宋体" w:cs="宋体"/>
          <w:b/>
          <w:color w:val="000000"/>
          <w:sz w:val="44"/>
          <w:szCs w:val="44"/>
          <w:lang w:val="en-US" w:eastAsia="zh-CN"/>
        </w:rPr>
        <w:t>贵州金泰利粮油发展</w:t>
      </w:r>
      <w:r>
        <w:rPr>
          <w:rFonts w:hint="eastAsia" w:hAnsi="宋体" w:cs="宋体"/>
          <w:b/>
          <w:color w:val="000000"/>
          <w:sz w:val="44"/>
          <w:szCs w:val="44"/>
        </w:rPr>
        <w:t>有限公司</w:t>
      </w:r>
    </w:p>
    <w:p>
      <w:pPr>
        <w:spacing w:beforeLines="50" w:afterLines="50"/>
        <w:jc w:val="center"/>
        <w:rPr>
          <w:rFonts w:hAnsi="宋体" w:cs="宋体"/>
          <w:b/>
          <w:color w:val="000000"/>
          <w:spacing w:val="20"/>
          <w:sz w:val="44"/>
          <w:szCs w:val="44"/>
        </w:rPr>
      </w:pPr>
      <w:r>
        <w:rPr>
          <w:rFonts w:hint="eastAsia" w:hAnsi="宋体" w:cs="宋体"/>
          <w:b/>
          <w:color w:val="000000"/>
          <w:spacing w:val="40"/>
          <w:w w:val="110"/>
          <w:sz w:val="44"/>
          <w:szCs w:val="44"/>
          <w:lang w:val="en-US" w:eastAsia="zh-CN"/>
        </w:rPr>
        <w:t>采购气相色谱-质谱仪</w:t>
      </w:r>
      <w:r>
        <w:rPr>
          <w:rFonts w:hint="eastAsia" w:hAnsi="宋体" w:cs="宋体"/>
          <w:b/>
          <w:color w:val="000000"/>
          <w:spacing w:val="40"/>
          <w:w w:val="110"/>
          <w:sz w:val="44"/>
          <w:szCs w:val="44"/>
        </w:rPr>
        <w:t xml:space="preserve">项目响应文件 </w:t>
      </w:r>
    </w:p>
    <w:p>
      <w:pPr>
        <w:jc w:val="center"/>
        <w:rPr>
          <w:rFonts w:hAnsi="宋体" w:cs="宋体"/>
          <w:color w:val="000000"/>
        </w:rPr>
      </w:pPr>
      <w:r>
        <w:rPr>
          <w:rFonts w:hint="eastAsia" w:hAnsi="宋体" w:cs="宋体"/>
          <w:b/>
          <w:color w:val="000000"/>
        </w:rPr>
        <w:t>（正本 / 副本）</w:t>
      </w:r>
    </w:p>
    <w:p>
      <w:pPr>
        <w:spacing w:line="580" w:lineRule="exact"/>
        <w:ind w:firstLine="696" w:firstLineChars="205"/>
        <w:rPr>
          <w:rFonts w:hAnsi="宋体" w:cs="宋体"/>
          <w:color w:val="000000"/>
        </w:rPr>
      </w:pPr>
    </w:p>
    <w:p>
      <w:pPr>
        <w:spacing w:line="580" w:lineRule="exact"/>
        <w:ind w:firstLine="696" w:firstLineChars="205"/>
        <w:rPr>
          <w:rFonts w:hAnsi="宋体" w:cs="宋体"/>
          <w:color w:val="000000"/>
        </w:rPr>
      </w:pPr>
    </w:p>
    <w:tbl>
      <w:tblPr>
        <w:tblStyle w:val="21"/>
        <w:tblW w:w="7894" w:type="dxa"/>
        <w:jc w:val="center"/>
        <w:tblLayout w:type="fixed"/>
        <w:tblCellMar>
          <w:top w:w="0" w:type="dxa"/>
          <w:left w:w="108" w:type="dxa"/>
          <w:bottom w:w="0" w:type="dxa"/>
          <w:right w:w="108" w:type="dxa"/>
        </w:tblCellMar>
      </w:tblPr>
      <w:tblGrid>
        <w:gridCol w:w="1626"/>
        <w:gridCol w:w="2272"/>
        <w:gridCol w:w="1381"/>
        <w:gridCol w:w="2615"/>
      </w:tblGrid>
      <w:tr>
        <w:trPr>
          <w:trHeight w:val="412"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项目编号：</w:t>
            </w:r>
          </w:p>
        </w:tc>
        <w:tc>
          <w:tcPr>
            <w:tcW w:w="6268" w:type="dxa"/>
            <w:gridSpan w:val="3"/>
            <w:tcBorders>
              <w:bottom w:val="single" w:color="000000" w:sz="4" w:space="0"/>
            </w:tcBorders>
            <w:vAlign w:val="bottom"/>
          </w:tcPr>
          <w:p>
            <w:pPr>
              <w:rPr>
                <w:rFonts w:hAnsi="宋体" w:cs="宋体"/>
                <w:color w:val="000000"/>
              </w:rPr>
            </w:pPr>
          </w:p>
        </w:tc>
      </w:tr>
      <w:tr>
        <w:trPr>
          <w:trHeight w:val="393"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项目名称：</w:t>
            </w:r>
          </w:p>
        </w:tc>
        <w:tc>
          <w:tcPr>
            <w:tcW w:w="6268" w:type="dxa"/>
            <w:gridSpan w:val="3"/>
            <w:tcBorders>
              <w:bottom w:val="single" w:color="000000" w:sz="4" w:space="0"/>
            </w:tcBorders>
            <w:vAlign w:val="bottom"/>
          </w:tcPr>
          <w:p>
            <w:pPr>
              <w:rPr>
                <w:rFonts w:hAnsi="宋体" w:cs="宋体"/>
                <w:color w:val="000000"/>
              </w:rPr>
            </w:pPr>
          </w:p>
        </w:tc>
      </w:tr>
      <w:tr>
        <w:trPr>
          <w:trHeight w:val="393"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采购方式：</w:t>
            </w:r>
          </w:p>
        </w:tc>
        <w:tc>
          <w:tcPr>
            <w:tcW w:w="6268" w:type="dxa"/>
            <w:gridSpan w:val="3"/>
            <w:tcBorders>
              <w:top w:val="single" w:color="000000" w:sz="4" w:space="0"/>
              <w:bottom w:val="single" w:color="000000" w:sz="4" w:space="0"/>
            </w:tcBorders>
            <w:vAlign w:val="bottom"/>
          </w:tcPr>
          <w:p>
            <w:pPr>
              <w:rPr>
                <w:rFonts w:hAnsi="宋体" w:cs="宋体"/>
                <w:color w:val="000000"/>
              </w:rPr>
            </w:pPr>
          </w:p>
        </w:tc>
      </w:tr>
      <w:tr>
        <w:trPr>
          <w:trHeight w:val="412"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供应商：</w:t>
            </w:r>
          </w:p>
        </w:tc>
        <w:tc>
          <w:tcPr>
            <w:tcW w:w="6268" w:type="dxa"/>
            <w:gridSpan w:val="3"/>
            <w:tcBorders>
              <w:top w:val="single" w:color="000000" w:sz="4" w:space="0"/>
              <w:bottom w:val="single" w:color="000000" w:sz="4" w:space="0"/>
            </w:tcBorders>
            <w:vAlign w:val="bottom"/>
          </w:tcPr>
          <w:p>
            <w:pPr>
              <w:rPr>
                <w:rFonts w:hAnsi="宋体" w:cs="宋体"/>
                <w:color w:val="000000"/>
              </w:rPr>
            </w:pPr>
          </w:p>
        </w:tc>
      </w:tr>
      <w:tr>
        <w:trPr>
          <w:trHeight w:val="393"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详细地址：</w:t>
            </w:r>
          </w:p>
        </w:tc>
        <w:tc>
          <w:tcPr>
            <w:tcW w:w="6268" w:type="dxa"/>
            <w:gridSpan w:val="3"/>
            <w:tcBorders>
              <w:top w:val="single" w:color="000000" w:sz="4" w:space="0"/>
              <w:bottom w:val="single" w:color="000000" w:sz="4" w:space="0"/>
            </w:tcBorders>
            <w:vAlign w:val="bottom"/>
          </w:tcPr>
          <w:p>
            <w:pPr>
              <w:rPr>
                <w:rFonts w:hAnsi="宋体" w:cs="宋体"/>
                <w:color w:val="000000"/>
              </w:rPr>
            </w:pPr>
          </w:p>
        </w:tc>
      </w:tr>
      <w:tr>
        <w:trPr>
          <w:trHeight w:val="432" w:hRule="atLeast"/>
          <w:jc w:val="center"/>
        </w:trPr>
        <w:tc>
          <w:tcPr>
            <w:tcW w:w="1626" w:type="dxa"/>
            <w:vAlign w:val="bottom"/>
          </w:tcPr>
          <w:p>
            <w:pPr>
              <w:jc w:val="distribute"/>
              <w:rPr>
                <w:rFonts w:hAnsi="宋体" w:cs="宋体"/>
                <w:color w:val="000000"/>
                <w:sz w:val="28"/>
                <w:szCs w:val="16"/>
              </w:rPr>
            </w:pPr>
            <w:r>
              <w:rPr>
                <w:rFonts w:hint="eastAsia" w:hAnsi="宋体" w:cs="宋体"/>
                <w:color w:val="000000"/>
                <w:sz w:val="28"/>
                <w:szCs w:val="16"/>
              </w:rPr>
              <w:t>联系人：</w:t>
            </w:r>
          </w:p>
        </w:tc>
        <w:tc>
          <w:tcPr>
            <w:tcW w:w="2272" w:type="dxa"/>
            <w:tcBorders>
              <w:top w:val="single" w:color="000000" w:sz="4" w:space="0"/>
              <w:bottom w:val="single" w:color="000000" w:sz="4" w:space="0"/>
            </w:tcBorders>
            <w:vAlign w:val="bottom"/>
          </w:tcPr>
          <w:p>
            <w:pPr>
              <w:jc w:val="center"/>
              <w:rPr>
                <w:rFonts w:hAnsi="宋体" w:cs="宋体"/>
                <w:color w:val="000000"/>
              </w:rPr>
            </w:pPr>
          </w:p>
        </w:tc>
        <w:tc>
          <w:tcPr>
            <w:tcW w:w="1381" w:type="dxa"/>
            <w:tcBorders>
              <w:top w:val="single" w:color="000000" w:sz="4" w:space="0"/>
            </w:tcBorders>
            <w:vAlign w:val="bottom"/>
          </w:tcPr>
          <w:p>
            <w:pPr>
              <w:rPr>
                <w:rFonts w:hAnsi="宋体" w:cs="宋体"/>
                <w:color w:val="000000"/>
              </w:rPr>
            </w:pPr>
            <w:r>
              <w:rPr>
                <w:rFonts w:hint="eastAsia" w:hAnsi="宋体" w:cs="宋体"/>
                <w:color w:val="000000"/>
              </w:rPr>
              <w:t>电 话：</w:t>
            </w:r>
          </w:p>
        </w:tc>
        <w:tc>
          <w:tcPr>
            <w:tcW w:w="2615" w:type="dxa"/>
            <w:tcBorders>
              <w:top w:val="single" w:color="000000" w:sz="4" w:space="0"/>
              <w:bottom w:val="single" w:color="000000" w:sz="4" w:space="0"/>
            </w:tcBorders>
            <w:vAlign w:val="bottom"/>
          </w:tcPr>
          <w:p>
            <w:pPr>
              <w:jc w:val="center"/>
              <w:rPr>
                <w:rFonts w:hAnsi="宋体" w:cs="宋体"/>
                <w:color w:val="000000"/>
              </w:rPr>
            </w:pPr>
          </w:p>
        </w:tc>
      </w:tr>
    </w:tbl>
    <w:p>
      <w:pPr>
        <w:spacing w:line="580" w:lineRule="exact"/>
        <w:ind w:firstLine="696" w:firstLineChars="205"/>
        <w:rPr>
          <w:rFonts w:hAnsi="宋体" w:cs="宋体"/>
          <w:color w:val="000000"/>
        </w:rPr>
      </w:pPr>
    </w:p>
    <w:p>
      <w:pPr>
        <w:spacing w:line="580" w:lineRule="exact"/>
        <w:jc w:val="center"/>
        <w:rPr>
          <w:rFonts w:hAnsi="宋体" w:cs="宋体"/>
          <w:color w:val="000000"/>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hAnsi="宋体" w:cs="宋体"/>
          <w:color w:val="000000"/>
        </w:rPr>
        <w:t>202</w:t>
      </w:r>
      <w:r>
        <w:rPr>
          <w:rFonts w:hint="eastAsia" w:hAnsi="宋体" w:cs="宋体"/>
          <w:color w:val="000000"/>
          <w:lang w:val="en-US" w:eastAsia="zh-CN"/>
        </w:rPr>
        <w:t>5</w:t>
      </w:r>
      <w:r>
        <w:rPr>
          <w:rFonts w:hint="eastAsia" w:hAnsi="宋体" w:cs="宋体"/>
          <w:color w:val="000000"/>
        </w:rPr>
        <w:t>年  月  日</w:t>
      </w:r>
    </w:p>
    <w:p>
      <w:pPr>
        <w:spacing w:beforeLines="50" w:afterLines="50"/>
        <w:jc w:val="center"/>
        <w:rPr>
          <w:rFonts w:hAnsi="宋体" w:cs="宋体"/>
          <w:b/>
          <w:color w:val="000000"/>
          <w:sz w:val="36"/>
          <w:szCs w:val="36"/>
        </w:rPr>
      </w:pPr>
    </w:p>
    <w:p>
      <w:pPr>
        <w:spacing w:beforeLines="50" w:afterLines="50"/>
        <w:jc w:val="center"/>
        <w:rPr>
          <w:rFonts w:hAnsi="宋体" w:cs="宋体"/>
          <w:b/>
          <w:color w:val="000000"/>
          <w:sz w:val="36"/>
          <w:szCs w:val="36"/>
        </w:rPr>
      </w:pPr>
      <w:r>
        <w:rPr>
          <w:rFonts w:hint="eastAsia" w:hAnsi="宋体" w:cs="宋体"/>
          <w:b/>
          <w:color w:val="000000"/>
          <w:sz w:val="36"/>
          <w:szCs w:val="36"/>
        </w:rPr>
        <w:t>目  录</w:t>
      </w:r>
    </w:p>
    <w:p>
      <w:pPr>
        <w:pStyle w:val="8"/>
        <w:spacing w:after="0" w:line="560" w:lineRule="exact"/>
        <w:ind w:left="0" w:leftChars="0"/>
        <w:rPr>
          <w:rFonts w:hAnsi="宋体" w:cs="Arial"/>
          <w:color w:val="000000"/>
          <w:sz w:val="24"/>
        </w:rPr>
      </w:pPr>
      <w:bookmarkStart w:id="132" w:name="_Toc406671150"/>
      <w:bookmarkStart w:id="133" w:name="_Toc406670779"/>
      <w:r>
        <w:rPr>
          <w:rFonts w:hint="eastAsia" w:hAnsi="宋体" w:cs="Arial"/>
          <w:color w:val="000000"/>
          <w:sz w:val="24"/>
        </w:rPr>
        <w:t>一、报价文件</w:t>
      </w:r>
      <w:bookmarkEnd w:id="132"/>
      <w:bookmarkEnd w:id="133"/>
    </w:p>
    <w:p>
      <w:pPr>
        <w:pStyle w:val="8"/>
        <w:spacing w:after="0" w:line="560" w:lineRule="exact"/>
        <w:ind w:left="0" w:leftChars="0"/>
        <w:rPr>
          <w:rFonts w:hAnsi="宋体" w:cs="Arial"/>
          <w:color w:val="000000"/>
          <w:sz w:val="24"/>
        </w:rPr>
      </w:pPr>
      <w:r>
        <w:rPr>
          <w:rFonts w:hint="eastAsia" w:hAnsi="宋体" w:cs="Arial"/>
          <w:color w:val="000000"/>
          <w:sz w:val="24"/>
        </w:rPr>
        <w:t>（一）报价函………………………………………………………………………01</w:t>
      </w:r>
    </w:p>
    <w:p>
      <w:pPr>
        <w:pStyle w:val="8"/>
        <w:spacing w:after="0" w:line="560" w:lineRule="exact"/>
        <w:ind w:left="0" w:leftChars="0"/>
        <w:rPr>
          <w:rFonts w:hAnsi="宋体" w:cs="Arial"/>
          <w:color w:val="000000"/>
          <w:sz w:val="24"/>
        </w:rPr>
      </w:pPr>
      <w:r>
        <w:rPr>
          <w:rFonts w:hint="eastAsia" w:hAnsi="宋体" w:cs="Arial"/>
          <w:color w:val="000000"/>
          <w:sz w:val="24"/>
        </w:rPr>
        <w:t>（二）报价一览表…………………………………………………………………02</w:t>
      </w:r>
    </w:p>
    <w:p>
      <w:pPr>
        <w:pStyle w:val="8"/>
        <w:spacing w:after="0" w:line="560" w:lineRule="exact"/>
        <w:ind w:left="0" w:leftChars="0"/>
        <w:rPr>
          <w:rFonts w:hAnsi="宋体" w:cs="Arial"/>
          <w:color w:val="000000"/>
          <w:sz w:val="24"/>
        </w:rPr>
      </w:pPr>
      <w:bookmarkStart w:id="134" w:name="_Toc406670780"/>
      <w:bookmarkStart w:id="135" w:name="_Toc406671151"/>
      <w:r>
        <w:rPr>
          <w:rFonts w:hint="eastAsia" w:hAnsi="宋体" w:cs="Arial"/>
          <w:color w:val="000000"/>
          <w:sz w:val="24"/>
        </w:rPr>
        <w:t>二、资格文件</w:t>
      </w:r>
      <w:bookmarkEnd w:id="134"/>
      <w:bookmarkEnd w:id="135"/>
    </w:p>
    <w:p>
      <w:pPr>
        <w:pStyle w:val="8"/>
        <w:spacing w:after="0" w:line="560" w:lineRule="exact"/>
        <w:ind w:left="0" w:leftChars="0"/>
        <w:rPr>
          <w:rFonts w:hAnsi="宋体" w:cs="Arial"/>
          <w:color w:val="000000"/>
          <w:sz w:val="24"/>
        </w:rPr>
      </w:pPr>
      <w:bookmarkStart w:id="136" w:name="_Toc406670781"/>
      <w:bookmarkStart w:id="137" w:name="_Toc406671152"/>
      <w:bookmarkStart w:id="138" w:name="_Toc406671719"/>
      <w:r>
        <w:rPr>
          <w:rFonts w:hint="eastAsia" w:hAnsi="宋体" w:cs="Arial"/>
          <w:color w:val="000000"/>
          <w:sz w:val="24"/>
        </w:rPr>
        <w:t>（一）一般资格</w:t>
      </w:r>
      <w:bookmarkEnd w:id="136"/>
      <w:bookmarkEnd w:id="137"/>
      <w:bookmarkEnd w:id="138"/>
    </w:p>
    <w:p>
      <w:pPr>
        <w:pStyle w:val="8"/>
        <w:spacing w:after="0" w:line="560" w:lineRule="exact"/>
        <w:ind w:left="0" w:leftChars="0"/>
        <w:rPr>
          <w:rFonts w:hAnsi="宋体" w:cs="Arial"/>
          <w:color w:val="000000"/>
          <w:sz w:val="24"/>
        </w:rPr>
      </w:pPr>
      <w:r>
        <w:rPr>
          <w:rFonts w:hint="eastAsia" w:hAnsi="宋体" w:cs="Arial"/>
          <w:color w:val="000000"/>
          <w:sz w:val="24"/>
        </w:rPr>
        <w:t>1.法人基本情况表…………………………………………………………………00</w:t>
      </w:r>
    </w:p>
    <w:p>
      <w:pPr>
        <w:pStyle w:val="8"/>
        <w:spacing w:after="0" w:line="560" w:lineRule="exact"/>
        <w:ind w:left="0" w:leftChars="0"/>
        <w:rPr>
          <w:rFonts w:hAnsi="宋体" w:cs="Arial"/>
          <w:color w:val="000000"/>
          <w:sz w:val="24"/>
        </w:rPr>
      </w:pPr>
      <w:r>
        <w:rPr>
          <w:rFonts w:hint="eastAsia" w:hAnsi="宋体" w:cs="Arial"/>
          <w:color w:val="000000"/>
          <w:sz w:val="24"/>
        </w:rPr>
        <w:t>2.营业执照复印件…………………………………………………………………00</w:t>
      </w:r>
    </w:p>
    <w:p>
      <w:pPr>
        <w:pStyle w:val="8"/>
        <w:spacing w:after="0" w:line="560" w:lineRule="exact"/>
        <w:ind w:left="0" w:leftChars="0"/>
        <w:rPr>
          <w:rFonts w:hAnsi="宋体" w:cs="Arial"/>
          <w:color w:val="000000"/>
          <w:sz w:val="24"/>
        </w:rPr>
      </w:pPr>
      <w:r>
        <w:rPr>
          <w:rFonts w:hint="eastAsia" w:hAnsi="宋体" w:cs="Arial"/>
          <w:color w:val="000000"/>
          <w:sz w:val="24"/>
        </w:rPr>
        <w:t>3.税务登记证复印件………………………………………………………………00</w:t>
      </w:r>
    </w:p>
    <w:p>
      <w:pPr>
        <w:pStyle w:val="8"/>
        <w:spacing w:after="0" w:line="560" w:lineRule="exact"/>
        <w:ind w:left="0" w:leftChars="0"/>
        <w:rPr>
          <w:rFonts w:hAnsi="宋体" w:cs="Arial"/>
          <w:color w:val="000000"/>
          <w:sz w:val="24"/>
        </w:rPr>
      </w:pPr>
      <w:r>
        <w:rPr>
          <w:rFonts w:hint="eastAsia" w:hAnsi="宋体" w:cs="Arial"/>
          <w:color w:val="000000"/>
          <w:sz w:val="24"/>
        </w:rPr>
        <w:t>4.组织机构代码证复印件…………………………………………………………00</w:t>
      </w:r>
    </w:p>
    <w:p>
      <w:pPr>
        <w:pStyle w:val="8"/>
        <w:spacing w:after="0" w:line="560" w:lineRule="exact"/>
        <w:ind w:left="0" w:leftChars="0"/>
        <w:rPr>
          <w:rFonts w:hAnsi="宋体" w:cs="Arial"/>
          <w:color w:val="000000"/>
          <w:sz w:val="24"/>
        </w:rPr>
      </w:pPr>
      <w:r>
        <w:rPr>
          <w:rFonts w:hint="eastAsia" w:hAnsi="宋体" w:cs="Arial"/>
          <w:color w:val="000000"/>
          <w:sz w:val="24"/>
        </w:rPr>
        <w:t>5.依法缴纳税收和社会保障资金的相关资料……………………………………00</w:t>
      </w:r>
    </w:p>
    <w:p>
      <w:pPr>
        <w:pStyle w:val="8"/>
        <w:spacing w:after="0" w:line="560" w:lineRule="exact"/>
        <w:ind w:left="0" w:leftChars="0"/>
        <w:rPr>
          <w:rFonts w:hAnsi="宋体" w:cs="Arial"/>
          <w:color w:val="000000"/>
          <w:sz w:val="24"/>
        </w:rPr>
      </w:pPr>
      <w:r>
        <w:rPr>
          <w:rFonts w:hint="eastAsia" w:hAnsi="宋体" w:cs="Arial"/>
          <w:color w:val="000000"/>
          <w:sz w:val="24"/>
        </w:rPr>
        <w:t>6.财务状况报告……………………………………………………………………00</w:t>
      </w:r>
    </w:p>
    <w:p>
      <w:pPr>
        <w:pStyle w:val="8"/>
        <w:spacing w:after="0" w:line="560" w:lineRule="exact"/>
        <w:ind w:left="0" w:leftChars="0"/>
        <w:rPr>
          <w:rFonts w:hAnsi="宋体" w:cs="Arial"/>
          <w:color w:val="000000"/>
          <w:sz w:val="24"/>
        </w:rPr>
      </w:pPr>
      <w:r>
        <w:rPr>
          <w:rFonts w:hint="eastAsia" w:hAnsi="宋体" w:cs="Arial"/>
          <w:color w:val="000000"/>
          <w:sz w:val="24"/>
        </w:rPr>
        <w:t>7.法人授权委托书…………………………………………………………………00</w:t>
      </w:r>
    </w:p>
    <w:p>
      <w:pPr>
        <w:pStyle w:val="8"/>
        <w:spacing w:after="0" w:line="560" w:lineRule="exact"/>
        <w:ind w:left="0" w:leftChars="0"/>
        <w:rPr>
          <w:rFonts w:hAnsi="宋体" w:cs="Arial"/>
          <w:color w:val="000000"/>
          <w:sz w:val="24"/>
        </w:rPr>
      </w:pPr>
      <w:r>
        <w:rPr>
          <w:rFonts w:hint="eastAsia" w:hAnsi="宋体" w:cs="Arial"/>
          <w:color w:val="000000"/>
          <w:sz w:val="24"/>
        </w:rPr>
        <w:t>8.无重大违法记录声明……………………………………………………………00</w:t>
      </w:r>
    </w:p>
    <w:p>
      <w:pPr>
        <w:pStyle w:val="8"/>
        <w:spacing w:after="0" w:line="560" w:lineRule="exact"/>
        <w:ind w:left="0" w:leftChars="0"/>
        <w:rPr>
          <w:rFonts w:hAnsi="宋体" w:cs="Arial"/>
          <w:color w:val="000000"/>
          <w:sz w:val="24"/>
        </w:rPr>
      </w:pPr>
      <w:r>
        <w:rPr>
          <w:rFonts w:hint="eastAsia" w:hAnsi="宋体" w:cs="Arial"/>
          <w:color w:val="000000"/>
          <w:sz w:val="24"/>
        </w:rPr>
        <w:t>9.其他供应商认为需要说明的情况………………………………………………00</w:t>
      </w:r>
    </w:p>
    <w:p>
      <w:pPr>
        <w:spacing w:line="500" w:lineRule="exact"/>
        <w:rPr>
          <w:rFonts w:hAnsi="宋体" w:cs="Arial"/>
          <w:color w:val="000000"/>
          <w:sz w:val="24"/>
        </w:rPr>
      </w:pPr>
      <w:bookmarkStart w:id="139" w:name="_Toc406670782"/>
      <w:bookmarkStart w:id="140" w:name="_Toc406671153"/>
      <w:r>
        <w:rPr>
          <w:rFonts w:hint="eastAsia" w:hAnsi="宋体" w:cs="Arial"/>
          <w:color w:val="000000"/>
          <w:sz w:val="24"/>
        </w:rPr>
        <w:t>三、技术文件</w:t>
      </w:r>
      <w:bookmarkEnd w:id="139"/>
      <w:bookmarkEnd w:id="140"/>
    </w:p>
    <w:p>
      <w:pPr>
        <w:pStyle w:val="8"/>
        <w:spacing w:after="0" w:line="560" w:lineRule="exact"/>
        <w:ind w:left="0" w:leftChars="0"/>
        <w:rPr>
          <w:rFonts w:hAnsi="宋体" w:cs="Arial"/>
          <w:color w:val="000000"/>
          <w:sz w:val="24"/>
        </w:rPr>
      </w:pPr>
      <w:r>
        <w:rPr>
          <w:rFonts w:hint="eastAsia" w:hAnsi="宋体" w:cs="Arial"/>
          <w:color w:val="000000"/>
          <w:sz w:val="24"/>
        </w:rPr>
        <w:t>服务方案……………………………………………………………………………00</w:t>
      </w:r>
    </w:p>
    <w:p>
      <w:pPr>
        <w:spacing w:line="500" w:lineRule="exact"/>
        <w:rPr>
          <w:rFonts w:hAnsi="宋体" w:cs="Arial"/>
          <w:color w:val="000000"/>
          <w:sz w:val="24"/>
        </w:rPr>
      </w:pPr>
      <w:r>
        <w:rPr>
          <w:rFonts w:hint="eastAsia" w:hAnsi="宋体" w:cs="Arial"/>
          <w:color w:val="000000"/>
          <w:sz w:val="24"/>
        </w:rPr>
        <w:t>四、商务文件</w:t>
      </w:r>
    </w:p>
    <w:p>
      <w:pPr>
        <w:pStyle w:val="8"/>
        <w:spacing w:after="0" w:line="560" w:lineRule="exact"/>
        <w:ind w:left="0" w:leftChars="0"/>
        <w:rPr>
          <w:rFonts w:hAnsi="宋体" w:cs="Arial"/>
          <w:color w:val="000000"/>
          <w:sz w:val="24"/>
        </w:rPr>
      </w:pPr>
      <w:r>
        <w:rPr>
          <w:rFonts w:hint="eastAsia" w:hAnsi="宋体" w:cs="Arial"/>
          <w:color w:val="000000"/>
          <w:sz w:val="24"/>
        </w:rPr>
        <w:t>业绩证明……………………………………………………………………………00</w:t>
      </w:r>
    </w:p>
    <w:p>
      <w:pPr>
        <w:pStyle w:val="6"/>
        <w:rPr>
          <w:color w:val="000000"/>
        </w:rPr>
      </w:pPr>
    </w:p>
    <w:p>
      <w:pPr>
        <w:spacing w:line="500" w:lineRule="exact"/>
        <w:rPr>
          <w:rFonts w:hAnsi="宋体" w:cs="宋体"/>
          <w:b/>
          <w:bCs/>
          <w:color w:val="000000"/>
        </w:rPr>
      </w:pPr>
      <w:r>
        <w:rPr>
          <w:rFonts w:hint="eastAsia" w:hAnsi="宋体" w:cs="Arial"/>
          <w:b/>
          <w:bCs/>
          <w:color w:val="000000"/>
          <w:sz w:val="24"/>
        </w:rPr>
        <w:t>注：具体目录内容请根据响应文件组成内容进行修改，此目录仅供参考。</w:t>
      </w:r>
    </w:p>
    <w:p>
      <w:pPr>
        <w:spacing w:line="540" w:lineRule="exact"/>
        <w:rPr>
          <w:rFonts w:hAnsi="宋体" w:cs="宋体"/>
          <w:color w:val="000000"/>
        </w:rPr>
      </w:pPr>
      <w:r>
        <w:rPr>
          <w:rFonts w:hint="eastAsia" w:hAnsi="宋体" w:cs="宋体"/>
          <w:color w:val="000000"/>
        </w:rPr>
        <w:br w:type="page"/>
      </w:r>
    </w:p>
    <w:p>
      <w:pPr>
        <w:spacing w:line="440" w:lineRule="exact"/>
        <w:rPr>
          <w:rFonts w:cs="宋体"/>
          <w:b/>
          <w:color w:val="000000"/>
          <w:sz w:val="36"/>
          <w:szCs w:val="36"/>
        </w:rPr>
      </w:pPr>
    </w:p>
    <w:p>
      <w:pPr>
        <w:spacing w:line="440" w:lineRule="exact"/>
        <w:jc w:val="center"/>
        <w:outlineLvl w:val="0"/>
        <w:rPr>
          <w:rFonts w:cs="宋体"/>
          <w:b/>
          <w:color w:val="000000"/>
          <w:sz w:val="36"/>
          <w:szCs w:val="36"/>
        </w:rPr>
      </w:pPr>
      <w:bookmarkStart w:id="141" w:name="_Toc27503"/>
      <w:bookmarkStart w:id="142" w:name="_Toc1817"/>
      <w:r>
        <w:rPr>
          <w:rFonts w:hint="eastAsia" w:cs="宋体"/>
          <w:b/>
          <w:color w:val="000000"/>
          <w:sz w:val="36"/>
          <w:szCs w:val="36"/>
        </w:rPr>
        <w:t>初步审查导航表</w:t>
      </w:r>
      <w:bookmarkEnd w:id="141"/>
      <w:bookmarkEnd w:id="142"/>
    </w:p>
    <w:p>
      <w:pPr>
        <w:ind w:firstLine="562"/>
        <w:jc w:val="center"/>
        <w:rPr>
          <w:color w:val="000000"/>
        </w:rPr>
      </w:pPr>
      <w:r>
        <w:rPr>
          <w:rFonts w:hint="eastAsia" w:hAnsi="宋体" w:cs="宋体"/>
          <w:color w:val="000000"/>
          <w:sz w:val="28"/>
          <w:szCs w:val="28"/>
        </w:rPr>
        <w:t>（格式仅供参考）</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序号</w:t>
            </w:r>
          </w:p>
        </w:tc>
        <w:tc>
          <w:tcPr>
            <w:tcW w:w="6662" w:type="dxa"/>
            <w:gridSpan w:val="2"/>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资格要求</w:t>
            </w:r>
          </w:p>
        </w:tc>
        <w:tc>
          <w:tcPr>
            <w:tcW w:w="1842" w:type="dxa"/>
            <w:tcBorders>
              <w:top w:val="single" w:color="auto" w:sz="4" w:space="0"/>
            </w:tcBorders>
            <w:vAlign w:val="center"/>
          </w:tcPr>
          <w:p>
            <w:pPr>
              <w:spacing w:beforeLines="50" w:afterLines="50"/>
              <w:rPr>
                <w:rFonts w:cs="宋体"/>
                <w:color w:val="000000"/>
                <w:sz w:val="21"/>
                <w:szCs w:val="21"/>
              </w:rPr>
            </w:pPr>
            <w:r>
              <w:rPr>
                <w:rFonts w:hint="eastAsia" w:cs="宋体"/>
                <w:color w:val="000000"/>
                <w:sz w:val="21"/>
                <w:szCs w:val="21"/>
              </w:rPr>
              <w:t>响应文件导航</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经营资格审查</w:t>
            </w: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2</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rPr>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3</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4</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5</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6</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特殊资质</w:t>
            </w: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 w:val="21"/>
                <w:szCs w:val="21"/>
              </w:rPr>
            </w:pPr>
            <w:r>
              <w:rPr>
                <w:rFonts w:hint="eastAsia" w:hAnsi="宋体" w:cs="仿宋_GB2312"/>
                <w:color w:val="000000"/>
                <w:sz w:val="21"/>
                <w:szCs w:val="21"/>
              </w:rPr>
              <w:t>页码范围：</w:t>
            </w:r>
          </w:p>
        </w:tc>
      </w:tr>
      <w:tr>
        <w:trPr>
          <w:cantSplit/>
          <w:trHeight w:val="115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7</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信用查询</w:t>
            </w:r>
          </w:p>
        </w:tc>
        <w:tc>
          <w:tcPr>
            <w:tcW w:w="5103" w:type="dxa"/>
            <w:vAlign w:val="center"/>
          </w:tcPr>
          <w:p>
            <w:pPr>
              <w:pStyle w:val="31"/>
              <w:spacing w:line="240" w:lineRule="auto"/>
              <w:ind w:firstLine="480"/>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84" w:hRule="atLeast"/>
        </w:trPr>
        <w:tc>
          <w:tcPr>
            <w:tcW w:w="676" w:type="dxa"/>
            <w:vMerge w:val="restart"/>
            <w:vAlign w:val="center"/>
          </w:tcPr>
          <w:p>
            <w:pPr>
              <w:pStyle w:val="31"/>
              <w:spacing w:line="240" w:lineRule="auto"/>
              <w:jc w:val="center"/>
              <w:rPr>
                <w:rFonts w:ascii="宋体"/>
                <w:color w:val="000000"/>
                <w:szCs w:val="21"/>
              </w:rPr>
            </w:pPr>
            <w:r>
              <w:rPr>
                <w:rFonts w:hint="eastAsia" w:ascii="宋体"/>
                <w:color w:val="000000"/>
                <w:szCs w:val="21"/>
              </w:rPr>
              <w:t>8</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无效标</w:t>
            </w:r>
          </w:p>
          <w:p>
            <w:pPr>
              <w:pStyle w:val="31"/>
              <w:spacing w:line="240" w:lineRule="auto"/>
              <w:jc w:val="center"/>
              <w:rPr>
                <w:rFonts w:ascii="宋体"/>
                <w:color w:val="000000"/>
                <w:szCs w:val="21"/>
              </w:rPr>
            </w:pPr>
            <w:r>
              <w:rPr>
                <w:rFonts w:hint="eastAsia" w:ascii="宋体"/>
                <w:color w:val="000000"/>
                <w:szCs w:val="21"/>
              </w:rPr>
              <w:t>审查</w:t>
            </w: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446"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421"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230"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341" w:hRule="atLeast"/>
        </w:trPr>
        <w:tc>
          <w:tcPr>
            <w:tcW w:w="676" w:type="dxa"/>
            <w:vMerge w:val="continue"/>
            <w:vAlign w:val="center"/>
          </w:tcPr>
          <w:p>
            <w:pPr>
              <w:pStyle w:val="31"/>
              <w:spacing w:line="240" w:lineRule="auto"/>
              <w:jc w:val="center"/>
              <w:rPr>
                <w:rFonts w:ascii="宋体"/>
                <w:color w:val="000000"/>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581"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9</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技术符合性</w:t>
            </w:r>
          </w:p>
        </w:tc>
        <w:tc>
          <w:tcPr>
            <w:tcW w:w="5103" w:type="dxa"/>
            <w:vAlign w:val="center"/>
          </w:tcPr>
          <w:p>
            <w:pPr>
              <w:pStyle w:val="31"/>
              <w:spacing w:line="240" w:lineRule="auto"/>
              <w:jc w:val="left"/>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trHeight w:val="42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10</w:t>
            </w:r>
          </w:p>
        </w:tc>
        <w:tc>
          <w:tcPr>
            <w:tcW w:w="1559"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商务符合性</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rPr>
                <w:rFonts w:hAnsi="宋体" w:cs="仿宋_GB2312"/>
                <w:color w:val="000000"/>
                <w:sz w:val="21"/>
                <w:szCs w:val="21"/>
              </w:rPr>
            </w:pPr>
            <w:r>
              <w:rPr>
                <w:rFonts w:hint="eastAsia" w:hAnsi="宋体" w:cs="仿宋_GB2312"/>
                <w:color w:val="000000"/>
                <w:sz w:val="21"/>
                <w:szCs w:val="21"/>
              </w:rPr>
              <w:t>响应文件册：承诺书</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54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其他审查</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r>
        <w:trPr>
          <w:cantSplit/>
          <w:trHeight w:val="56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p>
        </w:tc>
        <w:tc>
          <w:tcPr>
            <w:tcW w:w="1559" w:type="dxa"/>
            <w:vMerge w:val="continue"/>
            <w:tcBorders>
              <w:bottom w:val="single" w:color="auto" w:sz="4" w:space="0"/>
            </w:tcBorders>
            <w:vAlign w:val="center"/>
          </w:tcPr>
          <w:p>
            <w:pPr>
              <w:pStyle w:val="31"/>
              <w:spacing w:line="240" w:lineRule="auto"/>
              <w:jc w:val="center"/>
              <w:rPr>
                <w:rFonts w:ascii="宋体"/>
                <w:color w:val="000000"/>
                <w:szCs w:val="21"/>
              </w:rPr>
            </w:pP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bl>
    <w:p>
      <w:pPr>
        <w:ind w:firstLine="562"/>
        <w:jc w:val="center"/>
        <w:rPr>
          <w:rFonts w:hAnsi="宋体" w:cs="宋体"/>
          <w:color w:val="000000"/>
        </w:rPr>
      </w:pPr>
    </w:p>
    <w:p>
      <w:pPr>
        <w:widowControl/>
        <w:ind w:firstLine="562"/>
        <w:jc w:val="center"/>
        <w:rPr>
          <w:rFonts w:hAnsi="宋体" w:cs="宋体"/>
          <w:color w:val="000000"/>
          <w:sz w:val="24"/>
          <w:szCs w:val="24"/>
        </w:rPr>
      </w:pPr>
      <w:r>
        <w:rPr>
          <w:rFonts w:hint="eastAsia" w:hAnsi="宋体" w:cs="宋体"/>
          <w:color w:val="000000"/>
          <w:sz w:val="24"/>
          <w:szCs w:val="24"/>
        </w:rPr>
        <w:t>根据本项目初步审查表逐项填写</w:t>
      </w:r>
    </w:p>
    <w:p>
      <w:pPr>
        <w:ind w:firstLine="562"/>
        <w:jc w:val="center"/>
        <w:rPr>
          <w:rFonts w:hAnsi="宋体" w:cs="宋体"/>
          <w:color w:val="000000"/>
        </w:rPr>
      </w:pPr>
    </w:p>
    <w:p>
      <w:pPr>
        <w:ind w:firstLine="562"/>
        <w:jc w:val="center"/>
        <w:rPr>
          <w:rFonts w:hAnsi="宋体" w:cs="宋体"/>
          <w:color w:val="000000"/>
        </w:rPr>
      </w:pPr>
    </w:p>
    <w:p>
      <w:pPr>
        <w:ind w:firstLine="562"/>
        <w:jc w:val="center"/>
        <w:rPr>
          <w:rFonts w:hAnsi="宋体" w:cs="宋体"/>
          <w:color w:val="000000"/>
        </w:rPr>
      </w:pPr>
    </w:p>
    <w:p>
      <w:pPr>
        <w:rPr>
          <w:rFonts w:hAnsi="宋体" w:cs="宋体"/>
          <w:color w:val="000000"/>
        </w:rPr>
      </w:pPr>
    </w:p>
    <w:p>
      <w:pPr>
        <w:spacing w:beforeLines="50" w:afterLines="50"/>
        <w:rPr>
          <w:rFonts w:ascii="黑体" w:hAnsi="黑体" w:eastAsia="黑体" w:cs="宋体"/>
          <w:color w:val="000000"/>
        </w:rPr>
      </w:pPr>
    </w:p>
    <w:p>
      <w:pPr>
        <w:spacing w:beforeLines="50" w:afterLines="50"/>
        <w:ind w:firstLine="680" w:firstLineChars="200"/>
        <w:outlineLvl w:val="0"/>
        <w:rPr>
          <w:rFonts w:ascii="黑体" w:hAnsi="黑体" w:eastAsia="黑体" w:cs="宋体"/>
          <w:color w:val="000000"/>
        </w:rPr>
      </w:pPr>
      <w:bookmarkStart w:id="143" w:name="_Toc7467"/>
      <w:bookmarkStart w:id="144" w:name="_Toc5227"/>
      <w:r>
        <w:rPr>
          <w:rFonts w:hint="eastAsia" w:ascii="黑体" w:hAnsi="黑体" w:eastAsia="黑体" w:cs="宋体"/>
          <w:color w:val="000000"/>
        </w:rPr>
        <w:t>一、报价文件</w:t>
      </w:r>
      <w:bookmarkEnd w:id="143"/>
      <w:bookmarkEnd w:id="144"/>
    </w:p>
    <w:p>
      <w:pPr>
        <w:ind w:left="-17" w:leftChars="-5" w:firstLine="10" w:firstLineChars="3"/>
        <w:jc w:val="center"/>
        <w:rPr>
          <w:rFonts w:ascii="黑体" w:hAnsi="黑体" w:eastAsia="黑体" w:cs="宋体"/>
          <w:color w:val="000000"/>
          <w:sz w:val="36"/>
          <w:szCs w:val="36"/>
        </w:rPr>
      </w:pPr>
    </w:p>
    <w:p>
      <w:pPr>
        <w:ind w:left="-17" w:leftChars="-5" w:firstLine="10" w:firstLineChars="3"/>
        <w:jc w:val="center"/>
        <w:rPr>
          <w:rFonts w:ascii="黑体" w:hAnsi="黑体" w:eastAsia="黑体" w:cs="宋体"/>
          <w:color w:val="000000"/>
          <w:sz w:val="36"/>
          <w:szCs w:val="36"/>
        </w:rPr>
      </w:pPr>
      <w:r>
        <w:rPr>
          <w:rFonts w:hint="eastAsia" w:ascii="黑体" w:hAnsi="黑体" w:eastAsia="黑体" w:cs="宋体"/>
          <w:color w:val="000000"/>
          <w:sz w:val="36"/>
          <w:szCs w:val="36"/>
        </w:rPr>
        <w:t>（一）响应函</w:t>
      </w:r>
    </w:p>
    <w:p>
      <w:pPr>
        <w:pStyle w:val="8"/>
        <w:spacing w:after="0" w:line="560" w:lineRule="exact"/>
        <w:ind w:left="0" w:leftChars="0"/>
        <w:rPr>
          <w:rFonts w:hAnsi="宋体" w:cs="Arial"/>
          <w:color w:val="000000"/>
          <w:sz w:val="24"/>
        </w:rPr>
      </w:pPr>
      <w:r>
        <w:rPr>
          <w:rFonts w:hint="eastAsia" w:hAnsi="宋体" w:cs="Arial"/>
          <w:color w:val="000000"/>
          <w:sz w:val="24"/>
        </w:rPr>
        <w:t>致采购人：</w:t>
      </w:r>
    </w:p>
    <w:p>
      <w:pPr>
        <w:pStyle w:val="8"/>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 xml:space="preserve">为本公司合法代理人，参加贵方组织的 </w:t>
      </w:r>
      <w:r>
        <w:rPr>
          <w:rFonts w:hint="eastAsia" w:hAnsi="宋体" w:cs="Arial"/>
          <w:color w:val="000000"/>
          <w:sz w:val="24"/>
          <w:u w:val="single"/>
        </w:rPr>
        <w:t>（项目名称）</w:t>
      </w:r>
      <w:r>
        <w:rPr>
          <w:rFonts w:hint="eastAsia" w:hAnsi="宋体" w:cs="Arial"/>
          <w:color w:val="000000"/>
          <w:sz w:val="24"/>
        </w:rPr>
        <w:t>竞争性磋商活动，代表本公司处理竞争性磋商活动中的一切事宜标。</w:t>
      </w:r>
    </w:p>
    <w:p>
      <w:pPr>
        <w:pStyle w:val="8"/>
        <w:spacing w:after="0" w:line="560" w:lineRule="exact"/>
        <w:ind w:left="0" w:leftChars="0"/>
        <w:rPr>
          <w:rFonts w:hAnsi="宋体" w:cs="Arial"/>
          <w:color w:val="000000"/>
          <w:sz w:val="24"/>
        </w:rPr>
      </w:pPr>
      <w:r>
        <w:rPr>
          <w:rFonts w:hint="eastAsia" w:hAnsi="宋体" w:cs="Arial"/>
          <w:color w:val="000000"/>
          <w:sz w:val="24"/>
        </w:rPr>
        <w:t>1.按照竞争性磋商文件规定，提交相应文件正本（</w:t>
      </w:r>
      <w:r>
        <w:rPr>
          <w:rFonts w:hAnsi="宋体" w:cs="Arial"/>
          <w:color w:val="000000"/>
          <w:sz w:val="24"/>
        </w:rPr>
        <w:t>1</w:t>
      </w:r>
      <w:r>
        <w:rPr>
          <w:rFonts w:hint="eastAsia" w:hAnsi="宋体" w:cs="Arial"/>
          <w:color w:val="000000"/>
          <w:sz w:val="24"/>
        </w:rPr>
        <w:t xml:space="preserve"> ）份及副本（ </w:t>
      </w:r>
      <w:r>
        <w:rPr>
          <w:rFonts w:hAnsi="宋体" w:cs="Arial"/>
          <w:color w:val="000000"/>
          <w:sz w:val="24"/>
        </w:rPr>
        <w:t>1</w:t>
      </w:r>
      <w:r>
        <w:rPr>
          <w:rFonts w:hint="eastAsia" w:hAnsi="宋体" w:cs="Arial"/>
          <w:color w:val="000000"/>
          <w:sz w:val="24"/>
        </w:rPr>
        <w:t>）份。</w:t>
      </w:r>
    </w:p>
    <w:p>
      <w:pPr>
        <w:pStyle w:val="8"/>
        <w:spacing w:after="0" w:line="560" w:lineRule="exact"/>
        <w:ind w:left="0" w:leftChars="0"/>
        <w:rPr>
          <w:rFonts w:hAnsi="宋体" w:cs="Arial"/>
          <w:color w:val="000000"/>
          <w:sz w:val="24"/>
        </w:rPr>
      </w:pPr>
      <w:r>
        <w:rPr>
          <w:rFonts w:hint="eastAsia" w:hAnsi="宋体" w:cs="Arial"/>
          <w:color w:val="000000"/>
          <w:sz w:val="24"/>
        </w:rPr>
        <w:t>2.据此函，承诺如下：</w:t>
      </w:r>
    </w:p>
    <w:p>
      <w:pPr>
        <w:pStyle w:val="8"/>
        <w:spacing w:after="0" w:line="560" w:lineRule="exact"/>
        <w:ind w:left="0" w:leftChars="0"/>
        <w:rPr>
          <w:rFonts w:hAnsi="宋体" w:cs="Arial"/>
          <w:color w:val="000000"/>
          <w:sz w:val="24"/>
        </w:rPr>
      </w:pPr>
      <w:r>
        <w:rPr>
          <w:rFonts w:hint="eastAsia" w:hAnsi="宋体" w:cs="Arial"/>
          <w:color w:val="000000"/>
          <w:sz w:val="24"/>
        </w:rPr>
        <w:t>1）我方已详细审查全部竞争性磋商文件及有关的澄清/修改文件，完全理解和同意，并保证遵守竞争性磋商文件有关条款规定。</w:t>
      </w:r>
    </w:p>
    <w:p>
      <w:pPr>
        <w:pStyle w:val="8"/>
        <w:spacing w:after="0" w:line="560" w:lineRule="exact"/>
        <w:ind w:left="0" w:leftChars="0"/>
        <w:rPr>
          <w:rFonts w:hAnsi="宋体" w:cs="Arial"/>
          <w:color w:val="0000FF"/>
          <w:sz w:val="24"/>
        </w:rPr>
      </w:pPr>
      <w:r>
        <w:rPr>
          <w:rFonts w:hint="eastAsia" w:hAnsi="宋体" w:cs="Arial"/>
          <w:color w:val="0000FF"/>
          <w:sz w:val="24"/>
        </w:rPr>
        <w:t>2）我方本次项目的竞争性磋商报价为：</w:t>
      </w:r>
      <w:r>
        <w:rPr>
          <w:rFonts w:hint="eastAsia" w:hAnsi="宋体" w:cs="Arial"/>
          <w:color w:val="0000FF"/>
          <w:sz w:val="24"/>
          <w:u w:val="single"/>
        </w:rPr>
        <w:t xml:space="preserve">       </w:t>
      </w:r>
      <w:r>
        <w:rPr>
          <w:rFonts w:hint="eastAsia" w:hAnsi="宋体" w:cs="Arial"/>
          <w:color w:val="0000FF"/>
          <w:sz w:val="24"/>
        </w:rPr>
        <w:t>元（附：报价文件附件）。</w:t>
      </w:r>
    </w:p>
    <w:p>
      <w:pPr>
        <w:pStyle w:val="8"/>
        <w:spacing w:after="0" w:line="560" w:lineRule="exact"/>
        <w:ind w:left="0" w:leftChars="0"/>
        <w:rPr>
          <w:rFonts w:hAnsi="宋体" w:cs="Arial"/>
          <w:color w:val="000000"/>
          <w:sz w:val="24"/>
        </w:rPr>
      </w:pPr>
      <w:r>
        <w:rPr>
          <w:rFonts w:hint="eastAsia" w:hAnsi="宋体" w:cs="Arial"/>
          <w:color w:val="000000"/>
          <w:sz w:val="24"/>
        </w:rPr>
        <w:t>本报价已经包含了所供产品及服务应纳的税金及竞争性磋商文件规定的报价中应包含的其它费用。本报价在响应有效期内固定不变，并在合同有效期内不受利率波动的影响。</w:t>
      </w:r>
    </w:p>
    <w:p>
      <w:pPr>
        <w:pStyle w:val="8"/>
        <w:spacing w:after="0" w:line="560" w:lineRule="exact"/>
        <w:ind w:left="0" w:leftChars="0"/>
        <w:rPr>
          <w:rFonts w:hAnsi="宋体" w:cs="Arial"/>
          <w:color w:val="000000"/>
          <w:sz w:val="24"/>
        </w:rPr>
      </w:pPr>
      <w:r>
        <w:rPr>
          <w:rFonts w:hAnsi="宋体" w:cs="Arial"/>
          <w:color w:val="000000"/>
          <w:sz w:val="24"/>
        </w:rPr>
        <w:t>3）本响应文件自</w:t>
      </w:r>
      <w:r>
        <w:rPr>
          <w:rFonts w:hint="eastAsia" w:hAnsi="宋体" w:cs="Arial"/>
          <w:color w:val="000000"/>
          <w:sz w:val="24"/>
        </w:rPr>
        <w:t>竞争性磋商</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pPr>
        <w:pStyle w:val="8"/>
        <w:spacing w:after="0" w:line="560" w:lineRule="exact"/>
        <w:ind w:left="0" w:leftChars="0"/>
        <w:rPr>
          <w:rFonts w:hAnsi="宋体" w:cs="Arial"/>
          <w:color w:val="000000"/>
          <w:sz w:val="24"/>
        </w:rPr>
      </w:pPr>
      <w:r>
        <w:rPr>
          <w:rFonts w:hint="eastAsia" w:hAnsi="宋体" w:cs="Arial"/>
          <w:color w:val="000000"/>
          <w:sz w:val="24"/>
        </w:rPr>
        <w:t>4）我方完全接受采购人最终选择供应商的权利；竞争性磋商时完全响应本项目</w:t>
      </w:r>
      <w:r>
        <w:rPr>
          <w:rFonts w:hint="eastAsia" w:hAnsi="宋体" w:cs="宋体"/>
          <w:color w:val="000000"/>
          <w:sz w:val="24"/>
        </w:rPr>
        <w:t>采购内容及服务要求</w:t>
      </w:r>
      <w:r>
        <w:rPr>
          <w:rFonts w:hint="eastAsia" w:hAnsi="宋体" w:cs="Arial"/>
          <w:color w:val="000000"/>
          <w:sz w:val="24"/>
        </w:rPr>
        <w:t>。</w:t>
      </w:r>
    </w:p>
    <w:p>
      <w:pPr>
        <w:pStyle w:val="8"/>
        <w:spacing w:after="0" w:line="560" w:lineRule="exact"/>
        <w:ind w:left="0" w:leftChars="0"/>
        <w:rPr>
          <w:rFonts w:hAnsi="宋体" w:cs="Arial"/>
          <w:color w:val="000000"/>
          <w:sz w:val="24"/>
        </w:rPr>
      </w:pPr>
      <w:r>
        <w:rPr>
          <w:rFonts w:hint="eastAsia" w:hAnsi="宋体" w:cs="Arial"/>
          <w:color w:val="000000"/>
          <w:sz w:val="24"/>
        </w:rPr>
        <w:t>5）保证在成交后忠实地执行与采购人所签署的合同，并承担合同规定的责任义务。</w:t>
      </w:r>
    </w:p>
    <w:p>
      <w:pPr>
        <w:pStyle w:val="8"/>
        <w:spacing w:after="0" w:line="560" w:lineRule="exact"/>
        <w:ind w:left="0" w:leftChars="0"/>
        <w:rPr>
          <w:rFonts w:hAnsi="宋体" w:cs="Arial"/>
          <w:color w:val="000000"/>
          <w:sz w:val="24"/>
        </w:rPr>
      </w:pPr>
      <w:r>
        <w:rPr>
          <w:rFonts w:hint="eastAsia" w:hAnsi="宋体" w:cs="Arial"/>
          <w:color w:val="000000"/>
          <w:sz w:val="24"/>
        </w:rPr>
        <w:t>6）本响应文件提供的报价、资格、技术、商务等文件均真实、有效、准确。若有违背，我方愿意承担由此而产生的一切后果。</w:t>
      </w:r>
    </w:p>
    <w:p>
      <w:pPr>
        <w:pStyle w:val="8"/>
        <w:spacing w:after="0" w:line="560" w:lineRule="exact"/>
        <w:ind w:left="0" w:leftChars="0"/>
        <w:rPr>
          <w:rFonts w:hAnsi="宋体" w:cs="Arial"/>
          <w:color w:val="000000"/>
          <w:sz w:val="24"/>
        </w:rPr>
      </w:pPr>
      <w:r>
        <w:rPr>
          <w:rFonts w:hint="eastAsia" w:hAnsi="宋体" w:cs="Arial"/>
          <w:color w:val="000000"/>
          <w:sz w:val="24"/>
        </w:rPr>
        <w:t>7）我方理解本次采购活动是参照相关法律法规开展的企业采购活动。</w:t>
      </w:r>
    </w:p>
    <w:p>
      <w:pPr>
        <w:pStyle w:val="8"/>
        <w:spacing w:after="0" w:line="560" w:lineRule="exact"/>
        <w:ind w:left="0" w:leftChars="0"/>
        <w:rPr>
          <w:rFonts w:hAnsi="宋体" w:cs="Arial"/>
          <w:color w:val="000000"/>
          <w:sz w:val="24"/>
        </w:rPr>
      </w:pPr>
      <w:r>
        <w:rPr>
          <w:rFonts w:hint="eastAsia" w:hAnsi="宋体" w:cs="Arial"/>
          <w:color w:val="000000"/>
          <w:sz w:val="24"/>
        </w:rPr>
        <w:t>8）我们郑重声明：我公司符合相关法律法规规定的参加本次采购活动应当具备的条件：具有健全的财务会计制度、依法缴纳税收和社会保障资金、参加本次采购活动之前的3年内，在经营活动中无重大违法活动。</w:t>
      </w:r>
    </w:p>
    <w:p>
      <w:pPr>
        <w:pStyle w:val="8"/>
        <w:spacing w:after="0" w:line="560" w:lineRule="exact"/>
        <w:ind w:left="0" w:leftChars="0"/>
        <w:rPr>
          <w:rFonts w:hAnsi="宋体" w:cs="Arial"/>
          <w:color w:val="000000"/>
          <w:sz w:val="24"/>
        </w:rPr>
      </w:pPr>
    </w:p>
    <w:p>
      <w:pPr>
        <w:pStyle w:val="9"/>
      </w:pPr>
    </w:p>
    <w:p>
      <w:pPr>
        <w:pStyle w:val="8"/>
        <w:spacing w:after="0" w:line="560" w:lineRule="exact"/>
        <w:ind w:left="0" w:leftChars="0"/>
        <w:rPr>
          <w:rFonts w:hAnsi="宋体" w:cs="Arial"/>
          <w:color w:val="000000"/>
          <w:sz w:val="24"/>
        </w:rPr>
      </w:pPr>
      <w:r>
        <w:rPr>
          <w:rFonts w:hint="eastAsia" w:hAnsi="宋体" w:cs="Arial"/>
          <w:color w:val="000000"/>
          <w:sz w:val="24"/>
        </w:rPr>
        <w:t>供应商名称（盖章）：</w:t>
      </w:r>
    </w:p>
    <w:p>
      <w:pPr>
        <w:pStyle w:val="8"/>
        <w:spacing w:after="0" w:line="560" w:lineRule="exact"/>
        <w:ind w:left="0" w:leftChars="0"/>
        <w:rPr>
          <w:rFonts w:hAnsi="宋体" w:cs="Arial"/>
          <w:color w:val="000000"/>
          <w:sz w:val="24"/>
        </w:rPr>
      </w:pPr>
      <w:r>
        <w:rPr>
          <w:rFonts w:hint="eastAsia" w:hAnsi="宋体" w:cs="Arial"/>
          <w:color w:val="000000"/>
          <w:sz w:val="24"/>
        </w:rPr>
        <w:t xml:space="preserve">法定代表人或授权代表（签字）：                </w:t>
      </w:r>
    </w:p>
    <w:p>
      <w:pPr>
        <w:pStyle w:val="8"/>
        <w:spacing w:after="0" w:line="560" w:lineRule="exact"/>
        <w:ind w:left="0" w:leftChars="0"/>
        <w:rPr>
          <w:rFonts w:hint="eastAsia" w:hAnsi="宋体" w:cs="Arial"/>
          <w:color w:val="000000"/>
          <w:sz w:val="24"/>
          <w:lang w:val="en-US" w:eastAsia="zh-CN"/>
        </w:rPr>
      </w:pPr>
      <w:r>
        <w:rPr>
          <w:rFonts w:hint="eastAsia" w:hAnsi="宋体" w:cs="Arial"/>
          <w:color w:val="000000"/>
          <w:sz w:val="24"/>
        </w:rPr>
        <w:t>日期：年</w:t>
      </w:r>
      <w:r>
        <w:rPr>
          <w:rFonts w:hint="eastAsia" w:hAnsi="宋体" w:cs="Arial"/>
          <w:color w:val="000000"/>
          <w:sz w:val="24"/>
          <w:lang w:val="en-US" w:eastAsia="zh-CN"/>
        </w:rPr>
        <w:t xml:space="preserve"> </w:t>
      </w:r>
      <w:r>
        <w:rPr>
          <w:rFonts w:hint="eastAsia" w:hAnsi="宋体" w:cs="Arial"/>
          <w:color w:val="000000"/>
          <w:sz w:val="24"/>
        </w:rPr>
        <w:t>月</w:t>
      </w:r>
      <w:r>
        <w:rPr>
          <w:rFonts w:hint="eastAsia" w:hAnsi="宋体" w:cs="Arial"/>
          <w:color w:val="000000"/>
          <w:sz w:val="24"/>
          <w:lang w:val="en-US" w:eastAsia="zh-CN"/>
        </w:rPr>
        <w:t xml:space="preserve">  日</w:t>
      </w: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9"/>
        <w:rPr>
          <w:rFonts w:hint="eastAsia" w:hAnsi="宋体" w:cs="Arial"/>
          <w:color w:val="000000"/>
          <w:sz w:val="24"/>
          <w:lang w:val="en-US" w:eastAsia="zh-CN"/>
        </w:rPr>
      </w:pPr>
    </w:p>
    <w:p>
      <w:pPr>
        <w:pStyle w:val="8"/>
        <w:spacing w:after="0" w:line="560" w:lineRule="exact"/>
        <w:ind w:left="0" w:leftChars="0"/>
        <w:rPr>
          <w:rFonts w:hAnsi="宋体" w:cs="Arial"/>
          <w:b/>
          <w:bCs/>
          <w:color w:val="000000"/>
          <w:sz w:val="24"/>
        </w:rPr>
      </w:pPr>
      <w:r>
        <w:rPr>
          <w:rFonts w:hint="eastAsia" w:hAnsi="宋体" w:cs="Arial"/>
          <w:b/>
          <w:bCs/>
          <w:color w:val="000000"/>
          <w:sz w:val="24"/>
        </w:rPr>
        <w:t>（二）报价一览表</w:t>
      </w:r>
    </w:p>
    <w:p>
      <w:pPr>
        <w:pStyle w:val="9"/>
        <w:rPr>
          <w:rFonts w:hint="eastAsia" w:hAnsi="宋体" w:cs="Arial"/>
          <w:color w:val="000000"/>
          <w:sz w:val="24"/>
          <w:lang w:val="en-US" w:eastAsia="zh-CN"/>
        </w:rPr>
      </w:pPr>
      <w:r>
        <w:rPr>
          <w:rFonts w:hint="eastAsia" w:hAnsi="宋体" w:cs="Arial"/>
          <w:color w:val="000000"/>
          <w:sz w:val="24"/>
        </w:rPr>
        <w:t>项目名称：</w:t>
      </w:r>
    </w:p>
    <w:tbl>
      <w:tblPr>
        <w:tblStyle w:val="22"/>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133"/>
        <w:gridCol w:w="3554"/>
        <w:gridCol w:w="713"/>
        <w:gridCol w:w="735"/>
        <w:gridCol w:w="1057"/>
      </w:tblGrid>
      <w:tr>
        <w:trPr>
          <w:trHeight w:val="541"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序号</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名称</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规格/型号</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单位</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数量</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r>
              <w:rPr>
                <w:rStyle w:val="24"/>
                <w:rFonts w:hint="eastAsia" w:ascii="宋体" w:hAnsi="宋体" w:cs="宋体"/>
                <w:b w:val="0"/>
                <w:bCs w:val="0"/>
                <w:i w:val="0"/>
                <w:iCs w:val="0"/>
                <w:caps w:val="0"/>
                <w:color w:val="auto"/>
                <w:spacing w:val="0"/>
                <w:sz w:val="24"/>
                <w:szCs w:val="24"/>
                <w:highlight w:val="none"/>
                <w:u w:val="none"/>
                <w:vertAlign w:val="baseline"/>
                <w:lang w:val="en-US" w:eastAsia="zh-CN"/>
              </w:rPr>
              <w:t>单价（元）</w:t>
            </w: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气相色谱仪主机 </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磐诺A91Pro</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color w:val="000000"/>
                <w:sz w:val="24"/>
                <w:szCs w:val="24"/>
                <w:highlight w:val="none"/>
                <w:vertAlign w:val="baseline"/>
                <w:lang w:val="en-US" w:eastAsia="zh-CN"/>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质谱主机</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磐诺AMD9Pro（250L大泵）</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color w:val="000000"/>
                <w:sz w:val="24"/>
                <w:szCs w:val="24"/>
                <w:highlight w:val="none"/>
                <w:vertAlign w:val="baseline"/>
                <w:lang w:val="en-US" w:eastAsia="zh-CN"/>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分流/不分流进样口     </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sz w:val="24"/>
                <w:szCs w:val="24"/>
                <w:highlight w:val="none"/>
                <w:vertAlign w:val="baseline"/>
                <w:lang w:val="en-US" w:eastAsia="zh-CN"/>
              </w:rPr>
            </w:pPr>
            <w:r>
              <w:rPr>
                <w:rFonts w:hint="eastAsia" w:ascii="宋体" w:hAnsi="宋体" w:eastAsia="宋体" w:cs="宋体"/>
                <w:b w:val="0"/>
                <w:bCs/>
                <w:color w:val="000000"/>
                <w:sz w:val="24"/>
                <w:szCs w:val="24"/>
                <w:highlight w:val="none"/>
                <w:vertAlign w:val="baseline"/>
                <w:lang w:val="en-US" w:eastAsia="zh-CN"/>
              </w:rPr>
              <w:t>磐诺S/SL</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color w:val="000000"/>
                <w:sz w:val="24"/>
                <w:szCs w:val="24"/>
                <w:highlight w:val="none"/>
                <w:vertAlign w:val="baseline"/>
                <w:lang w:val="en-US" w:eastAsia="zh-CN"/>
              </w:rPr>
              <w:t>套</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2</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4</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氢火焰离子化检测器</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sz w:val="24"/>
                <w:szCs w:val="24"/>
                <w:highlight w:val="none"/>
                <w:vertAlign w:val="baseline"/>
                <w:lang w:val="en-US" w:eastAsia="zh-CN"/>
              </w:rPr>
            </w:pPr>
            <w:r>
              <w:rPr>
                <w:rFonts w:hint="eastAsia" w:ascii="宋体" w:hAnsi="宋体" w:eastAsia="宋体" w:cs="宋体"/>
                <w:b w:val="0"/>
                <w:bCs/>
                <w:color w:val="000000"/>
                <w:sz w:val="24"/>
                <w:szCs w:val="24"/>
                <w:highlight w:val="none"/>
                <w:vertAlign w:val="baseline"/>
                <w:lang w:val="en-US" w:eastAsia="zh-CN"/>
              </w:rPr>
              <w:t>磐诺FID</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color w:val="000000"/>
                <w:sz w:val="24"/>
                <w:szCs w:val="24"/>
                <w:highlight w:val="none"/>
                <w:vertAlign w:val="baseline"/>
                <w:lang w:val="en-US" w:eastAsia="zh-CN"/>
              </w:rPr>
              <w:t>套</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飞跃机械泵</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6</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sz w:val="24"/>
                <w:szCs w:val="24"/>
                <w:highlight w:val="none"/>
                <w:u w:val="none"/>
                <w:lang w:val="en-US" w:eastAsia="zh-CN"/>
              </w:rPr>
              <w:t>氦气捕集阱</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氦气捕集阱</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7</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炉膛后开门向上放空组件</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8</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MS工具包</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9</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基础工具包</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10</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毛细柱工具包</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SA"/>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11</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FID工具包</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12</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色谱柱（安捷伦）</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DB-5MS（30m*0.25mm*0.25um）</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13</w:t>
            </w:r>
          </w:p>
        </w:tc>
        <w:tc>
          <w:tcPr>
            <w:tcW w:w="3133" w:type="dxa"/>
            <w:noWrap w:val="0"/>
            <w:vAlign w:val="center"/>
          </w:tcPr>
          <w:p>
            <w:pPr>
              <w:keepNext w:val="0"/>
              <w:keepLines w:val="0"/>
              <w:pageBreakBefore w:val="0"/>
              <w:widowControl/>
              <w:suppressLineNumbers w:val="0"/>
              <w:tabs>
                <w:tab w:val="center" w:pos="1177"/>
              </w:tabs>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色谱柱（Kromat）</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KB-WAX柱（50m*0.25mm*0.2um）</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14</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色谱柱（安捷伦）</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DB-17MS(30m*0.25mm*0.25um)</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15</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色谱柱(北京迪马科技)</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DM-2330柱(30m*0.25mm*0.2um)</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16</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捕集</w:t>
            </w:r>
            <w:r>
              <w:rPr>
                <w:rFonts w:hint="eastAsia" w:ascii="宋体" w:hAnsi="宋体" w:eastAsia="宋体" w:cs="宋体"/>
                <w:b w:val="0"/>
                <w:bCs w:val="0"/>
                <w:i w:val="0"/>
                <w:iCs w:val="0"/>
                <w:color w:val="000000"/>
                <w:sz w:val="24"/>
                <w:szCs w:val="24"/>
                <w:highlight w:val="none"/>
                <w:u w:val="none"/>
                <w:lang w:val="en-US" w:eastAsia="zh-CN"/>
              </w:rPr>
              <w:t>阱</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脱水脱烃</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17</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软件       </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磐诺Bridge</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18</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电脑、打印机</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t>激光双面打印</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19</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空气发生器</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磐诺PA-2000</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2"/>
                <w:sz w:val="24"/>
                <w:szCs w:val="24"/>
                <w:highlight w:val="none"/>
                <w:u w:val="none"/>
                <w:lang w:val="en-US" w:eastAsia="zh-CN" w:bidi="ar-SA"/>
              </w:rPr>
              <w:t>20</w:t>
            </w:r>
          </w:p>
        </w:tc>
        <w:tc>
          <w:tcPr>
            <w:tcW w:w="31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24位液体自动进样器</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磐诺B76-B</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21</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超声波清洗机</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3200DE</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57"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22</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固相萃取（SPE）装置12位</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台</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497"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固相萃取柱</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1000mg/6ml/30支每包</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氦气</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瓶</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减压阀</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826"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标准溶液（正己烷中18种邻苯二甲酸酯类混标）</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FF0000"/>
                <w:spacing w:val="0"/>
                <w:sz w:val="24"/>
                <w:szCs w:val="24"/>
                <w:highlight w:val="none"/>
                <w:u w:val="none"/>
                <w:vertAlign w:val="baseline"/>
                <w:lang w:val="en-US" w:eastAsia="zh-CN"/>
              </w:rPr>
            </w:pPr>
          </w:p>
        </w:tc>
      </w:tr>
      <w:tr>
        <w:trPr>
          <w:trHeight w:val="524"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丙酮</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AR500ml</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瓶</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59"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3133"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二氯甲烷</w:t>
            </w:r>
          </w:p>
        </w:tc>
        <w:tc>
          <w:tcPr>
            <w:tcW w:w="3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AR500ml</w:t>
            </w:r>
          </w:p>
        </w:tc>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瓶</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59" w:hRule="atLeast"/>
          <w:jc w:val="center"/>
        </w:trPr>
        <w:tc>
          <w:tcPr>
            <w:tcW w:w="737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  计</w:t>
            </w:r>
          </w:p>
        </w:tc>
        <w:tc>
          <w:tcPr>
            <w:tcW w:w="2505"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r>
        <w:trPr>
          <w:trHeight w:val="559" w:hRule="atLeast"/>
          <w:jc w:val="center"/>
        </w:trPr>
        <w:tc>
          <w:tcPr>
            <w:tcW w:w="737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  写</w:t>
            </w:r>
          </w:p>
        </w:tc>
        <w:tc>
          <w:tcPr>
            <w:tcW w:w="2505"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jc w:val="center"/>
              <w:rPr>
                <w:rStyle w:val="24"/>
                <w:rFonts w:hint="eastAsia" w:ascii="宋体" w:hAnsi="宋体" w:eastAsia="宋体" w:cs="宋体"/>
                <w:b w:val="0"/>
                <w:bCs w:val="0"/>
                <w:i w:val="0"/>
                <w:iCs w:val="0"/>
                <w:caps w:val="0"/>
                <w:color w:val="auto"/>
                <w:spacing w:val="0"/>
                <w:sz w:val="24"/>
                <w:szCs w:val="24"/>
                <w:highlight w:val="none"/>
                <w:u w:val="none"/>
                <w:vertAlign w:val="baseline"/>
                <w:lang w:val="en-US" w:eastAsia="zh-CN"/>
              </w:rPr>
            </w:pPr>
          </w:p>
        </w:tc>
      </w:tr>
    </w:tbl>
    <w:p>
      <w:pPr>
        <w:pStyle w:val="9"/>
        <w:ind w:left="0" w:leftChars="0" w:firstLine="0" w:firstLineChars="0"/>
        <w:rPr>
          <w:rFonts w:hint="default" w:hAnsi="宋体" w:cs="Arial"/>
          <w:color w:val="000000"/>
          <w:sz w:val="24"/>
          <w:lang w:val="en-US" w:eastAsia="zh-CN"/>
        </w:rPr>
      </w:pPr>
    </w:p>
    <w:p>
      <w:pPr>
        <w:pStyle w:val="9"/>
        <w:ind w:left="0" w:leftChars="0" w:firstLine="0" w:firstLineChars="0"/>
        <w:rPr>
          <w:rFonts w:hint="default" w:hAnsi="宋体" w:cs="Arial"/>
          <w:color w:val="000000"/>
          <w:sz w:val="24"/>
          <w:lang w:val="en-US" w:eastAsia="zh-CN"/>
        </w:rPr>
      </w:pPr>
    </w:p>
    <w:p>
      <w:pPr>
        <w:pStyle w:val="8"/>
        <w:spacing w:after="0" w:line="560" w:lineRule="exact"/>
        <w:ind w:left="0" w:leftChars="0"/>
        <w:rPr>
          <w:rFonts w:hAnsi="宋体" w:cs="Arial"/>
          <w:color w:val="000000"/>
          <w:sz w:val="24"/>
        </w:rPr>
      </w:pPr>
      <w:r>
        <w:rPr>
          <w:rFonts w:hint="eastAsia" w:hAnsi="宋体" w:cs="Arial"/>
          <w:color w:val="000000"/>
          <w:sz w:val="24"/>
        </w:rPr>
        <w:t>注：1.报价总金额应与“响应函”中报价一致，如不一致，以报价一览表为准。</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2.有关报价优惠折扣、竞争性磋商文件允许的备选方案均应载明。</w:t>
      </w:r>
    </w:p>
    <w:p>
      <w:pPr>
        <w:pStyle w:val="8"/>
        <w:spacing w:after="0" w:line="560" w:lineRule="exact"/>
        <w:ind w:left="0" w:leftChars="0" w:firstLine="480" w:firstLineChars="200"/>
        <w:rPr>
          <w:rFonts w:hint="eastAsia" w:hAnsi="宋体" w:eastAsia="宋体" w:cs="Arial"/>
          <w:color w:val="000000"/>
          <w:sz w:val="24"/>
          <w:lang w:eastAsia="zh-CN"/>
        </w:rPr>
      </w:pPr>
      <w:r>
        <w:rPr>
          <w:rFonts w:hint="eastAsia" w:hAnsi="宋体" w:cs="Arial"/>
          <w:color w:val="000000"/>
          <w:sz w:val="24"/>
        </w:rPr>
        <w:t>3.“报价一览表”为多页的，每页均需盖供应商印章。</w:t>
      </w:r>
    </w:p>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供应商名称（盖章）：</w:t>
      </w:r>
    </w:p>
    <w:p>
      <w:pPr>
        <w:pStyle w:val="8"/>
        <w:spacing w:after="0" w:line="560" w:lineRule="exact"/>
        <w:ind w:left="0" w:leftChars="0"/>
        <w:rPr>
          <w:rFonts w:hAnsi="宋体" w:cs="Arial"/>
          <w:color w:val="000000"/>
          <w:sz w:val="24"/>
        </w:rPr>
      </w:pPr>
      <w:r>
        <w:rPr>
          <w:rFonts w:hint="eastAsia" w:hAnsi="宋体" w:cs="Arial"/>
          <w:color w:val="000000"/>
          <w:sz w:val="24"/>
        </w:rPr>
        <w:t xml:space="preserve">法定代表人或授权代表（签字）：                </w:t>
      </w:r>
    </w:p>
    <w:p>
      <w:pPr>
        <w:pStyle w:val="8"/>
        <w:spacing w:after="0" w:line="560" w:lineRule="exact"/>
        <w:ind w:left="0" w:leftChars="0"/>
        <w:rPr>
          <w:rFonts w:hAnsi="宋体" w:cs="Arial"/>
          <w:color w:val="000000"/>
          <w:sz w:val="24"/>
        </w:rPr>
        <w:sectPr>
          <w:pgSz w:w="11907" w:h="16840"/>
          <w:pgMar w:top="1304" w:right="1588" w:bottom="1304" w:left="1588" w:header="720" w:footer="720" w:gutter="0"/>
          <w:cols w:space="720" w:num="1"/>
          <w:docGrid w:linePitch="285" w:charSpace="0"/>
        </w:sectPr>
      </w:pPr>
      <w:r>
        <w:rPr>
          <w:rFonts w:hint="eastAsia" w:hAnsi="宋体" w:cs="Arial"/>
          <w:color w:val="000000"/>
          <w:sz w:val="24"/>
        </w:rPr>
        <w:t>日期：</w:t>
      </w:r>
    </w:p>
    <w:p>
      <w:pPr>
        <w:pStyle w:val="8"/>
        <w:spacing w:after="0" w:line="560" w:lineRule="exact"/>
        <w:ind w:left="0" w:leftChars="0"/>
        <w:outlineLvl w:val="0"/>
        <w:rPr>
          <w:rFonts w:hAnsi="宋体" w:cs="Arial"/>
          <w:b/>
          <w:bCs/>
          <w:color w:val="000000"/>
          <w:sz w:val="24"/>
        </w:rPr>
      </w:pPr>
      <w:bookmarkStart w:id="145" w:name="_Toc29634"/>
      <w:bookmarkStart w:id="146" w:name="_Toc2025"/>
      <w:r>
        <w:rPr>
          <w:rFonts w:hint="eastAsia" w:hAnsi="宋体" w:cs="Arial"/>
          <w:b/>
          <w:bCs/>
          <w:color w:val="000000"/>
          <w:sz w:val="24"/>
        </w:rPr>
        <w:t>二、资格文件</w:t>
      </w:r>
      <w:bookmarkEnd w:id="145"/>
      <w:bookmarkEnd w:id="146"/>
    </w:p>
    <w:p>
      <w:pPr>
        <w:pStyle w:val="8"/>
        <w:spacing w:after="0" w:line="560" w:lineRule="exact"/>
        <w:ind w:left="0" w:leftChars="0"/>
        <w:rPr>
          <w:rFonts w:hAnsi="宋体" w:cs="Arial"/>
          <w:color w:val="000000"/>
          <w:sz w:val="24"/>
        </w:rPr>
      </w:pPr>
      <w:r>
        <w:rPr>
          <w:rFonts w:hint="eastAsia" w:hAnsi="宋体" w:cs="Arial"/>
          <w:color w:val="000000"/>
          <w:sz w:val="24"/>
        </w:rPr>
        <w:t>（一）一般资格</w:t>
      </w:r>
    </w:p>
    <w:p>
      <w:pPr>
        <w:pStyle w:val="8"/>
        <w:spacing w:after="0" w:line="560" w:lineRule="exact"/>
        <w:ind w:left="0" w:leftChars="0"/>
        <w:rPr>
          <w:rFonts w:hAnsi="宋体" w:cs="Arial"/>
          <w:color w:val="000000"/>
          <w:sz w:val="24"/>
        </w:rPr>
      </w:pPr>
      <w:r>
        <w:rPr>
          <w:rFonts w:hint="eastAsia" w:hAnsi="宋体" w:cs="Arial"/>
          <w:color w:val="000000"/>
          <w:sz w:val="24"/>
        </w:rPr>
        <w:t>1.供应商基本情况表（盖章）</w:t>
      </w:r>
    </w:p>
    <w:p>
      <w:pPr>
        <w:pStyle w:val="8"/>
        <w:spacing w:after="0" w:line="560" w:lineRule="exact"/>
        <w:ind w:left="0" w:leftChars="0"/>
        <w:jc w:val="center"/>
        <w:rPr>
          <w:rFonts w:hAnsi="宋体" w:cs="Arial"/>
          <w:color w:val="000000"/>
          <w:sz w:val="24"/>
        </w:rPr>
      </w:pPr>
      <w:r>
        <w:rPr>
          <w:rFonts w:hint="eastAsia" w:hAnsi="宋体" w:cs="Arial"/>
          <w:color w:val="000000"/>
          <w:sz w:val="24"/>
        </w:rPr>
        <w:t>供应商基本情况表</w:t>
      </w:r>
    </w:p>
    <w:tbl>
      <w:tblPr>
        <w:tblStyle w:val="21"/>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trPr>
          <w:trHeight w:val="680"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供应商名称</w:t>
            </w:r>
          </w:p>
        </w:tc>
        <w:tc>
          <w:tcPr>
            <w:tcW w:w="6886" w:type="dxa"/>
            <w:gridSpan w:val="3"/>
            <w:vAlign w:val="center"/>
          </w:tcPr>
          <w:p>
            <w:pPr>
              <w:pStyle w:val="8"/>
              <w:spacing w:after="0" w:line="560" w:lineRule="exact"/>
              <w:ind w:left="0" w:leftChars="0"/>
              <w:rPr>
                <w:rFonts w:hAnsi="宋体" w:cs="Arial"/>
                <w:color w:val="000000"/>
                <w:sz w:val="24"/>
              </w:rPr>
            </w:pPr>
          </w:p>
        </w:tc>
      </w:tr>
      <w:tr>
        <w:trPr>
          <w:trHeight w:val="703"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注册地址</w:t>
            </w:r>
          </w:p>
        </w:tc>
        <w:tc>
          <w:tcPr>
            <w:tcW w:w="3059" w:type="dxa"/>
            <w:vAlign w:val="center"/>
          </w:tcPr>
          <w:p>
            <w:pPr>
              <w:pStyle w:val="8"/>
              <w:spacing w:after="0" w:line="560" w:lineRule="exact"/>
              <w:ind w:left="0" w:leftChars="0"/>
              <w:rPr>
                <w:rFonts w:hAnsi="宋体" w:cs="Arial"/>
                <w:color w:val="000000"/>
                <w:sz w:val="24"/>
              </w:rPr>
            </w:pPr>
          </w:p>
        </w:tc>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邮政编码</w:t>
            </w:r>
          </w:p>
        </w:tc>
        <w:tc>
          <w:tcPr>
            <w:tcW w:w="1984" w:type="dxa"/>
            <w:vAlign w:val="center"/>
          </w:tcPr>
          <w:p>
            <w:pPr>
              <w:pStyle w:val="8"/>
              <w:spacing w:after="0" w:line="560" w:lineRule="exact"/>
              <w:ind w:left="0" w:leftChars="0"/>
              <w:rPr>
                <w:rFonts w:hAnsi="宋体" w:cs="Arial"/>
                <w:color w:val="000000"/>
                <w:sz w:val="24"/>
              </w:rPr>
            </w:pPr>
          </w:p>
        </w:tc>
      </w:tr>
      <w:tr>
        <w:trPr>
          <w:trHeight w:val="485"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法定代表人</w:t>
            </w:r>
          </w:p>
        </w:tc>
        <w:tc>
          <w:tcPr>
            <w:tcW w:w="3059" w:type="dxa"/>
            <w:vAlign w:val="center"/>
          </w:tcPr>
          <w:p>
            <w:pPr>
              <w:pStyle w:val="8"/>
              <w:spacing w:after="0" w:line="560" w:lineRule="exact"/>
              <w:ind w:left="0" w:leftChars="0"/>
              <w:rPr>
                <w:rFonts w:hAnsi="宋体" w:cs="Arial"/>
                <w:color w:val="000000"/>
                <w:sz w:val="24"/>
              </w:rPr>
            </w:pPr>
          </w:p>
        </w:tc>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8"/>
              <w:spacing w:after="0" w:line="560" w:lineRule="exact"/>
              <w:ind w:left="0" w:leftChars="0"/>
              <w:rPr>
                <w:rFonts w:hAnsi="宋体" w:cs="Arial"/>
                <w:color w:val="000000"/>
                <w:sz w:val="24"/>
              </w:rPr>
            </w:pPr>
          </w:p>
        </w:tc>
      </w:tr>
      <w:tr>
        <w:trPr>
          <w:trHeight w:val="550"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传真</w:t>
            </w:r>
          </w:p>
        </w:tc>
        <w:tc>
          <w:tcPr>
            <w:tcW w:w="3059" w:type="dxa"/>
            <w:vAlign w:val="center"/>
          </w:tcPr>
          <w:p>
            <w:pPr>
              <w:pStyle w:val="8"/>
              <w:spacing w:after="0" w:line="560" w:lineRule="exact"/>
              <w:ind w:left="0" w:leftChars="0"/>
              <w:rPr>
                <w:rFonts w:hAnsi="宋体" w:cs="Arial"/>
                <w:color w:val="000000"/>
                <w:sz w:val="24"/>
              </w:rPr>
            </w:pPr>
          </w:p>
        </w:tc>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网址</w:t>
            </w:r>
          </w:p>
        </w:tc>
        <w:tc>
          <w:tcPr>
            <w:tcW w:w="1984" w:type="dxa"/>
            <w:vAlign w:val="center"/>
          </w:tcPr>
          <w:p>
            <w:pPr>
              <w:pStyle w:val="8"/>
              <w:spacing w:after="0" w:line="560" w:lineRule="exact"/>
              <w:ind w:left="0" w:leftChars="0"/>
              <w:rPr>
                <w:rFonts w:hAnsi="宋体" w:cs="Arial"/>
                <w:color w:val="000000"/>
                <w:sz w:val="24"/>
              </w:rPr>
            </w:pPr>
          </w:p>
        </w:tc>
      </w:tr>
      <w:tr>
        <w:trPr>
          <w:trHeight w:val="640"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联系人</w:t>
            </w:r>
          </w:p>
        </w:tc>
        <w:tc>
          <w:tcPr>
            <w:tcW w:w="3059" w:type="dxa"/>
            <w:vAlign w:val="center"/>
          </w:tcPr>
          <w:p>
            <w:pPr>
              <w:pStyle w:val="8"/>
              <w:spacing w:after="0" w:line="560" w:lineRule="exact"/>
              <w:ind w:left="0" w:leftChars="0"/>
              <w:rPr>
                <w:rFonts w:hAnsi="宋体" w:cs="Arial"/>
                <w:color w:val="000000"/>
                <w:sz w:val="24"/>
              </w:rPr>
            </w:pPr>
          </w:p>
        </w:tc>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8"/>
              <w:spacing w:after="0" w:line="560" w:lineRule="exact"/>
              <w:ind w:left="0" w:leftChars="0"/>
              <w:rPr>
                <w:rFonts w:hAnsi="宋体" w:cs="Arial"/>
                <w:color w:val="000000"/>
                <w:sz w:val="24"/>
              </w:rPr>
            </w:pPr>
          </w:p>
        </w:tc>
      </w:tr>
      <w:tr>
        <w:trPr>
          <w:trHeight w:val="508"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成立时间</w:t>
            </w:r>
          </w:p>
        </w:tc>
        <w:tc>
          <w:tcPr>
            <w:tcW w:w="3059" w:type="dxa"/>
            <w:vAlign w:val="center"/>
          </w:tcPr>
          <w:p>
            <w:pPr>
              <w:pStyle w:val="8"/>
              <w:spacing w:after="0" w:line="560" w:lineRule="exact"/>
              <w:ind w:left="0" w:leftChars="0"/>
              <w:rPr>
                <w:rFonts w:hAnsi="宋体" w:cs="Arial"/>
                <w:color w:val="000000"/>
                <w:sz w:val="24"/>
              </w:rPr>
            </w:pPr>
          </w:p>
        </w:tc>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职工人数</w:t>
            </w:r>
          </w:p>
        </w:tc>
        <w:tc>
          <w:tcPr>
            <w:tcW w:w="1984" w:type="dxa"/>
            <w:vAlign w:val="center"/>
          </w:tcPr>
          <w:p>
            <w:pPr>
              <w:pStyle w:val="8"/>
              <w:spacing w:after="0" w:line="560" w:lineRule="exact"/>
              <w:ind w:left="0" w:leftChars="0"/>
              <w:rPr>
                <w:rFonts w:hAnsi="宋体" w:cs="Arial"/>
                <w:color w:val="000000"/>
                <w:sz w:val="24"/>
              </w:rPr>
            </w:pPr>
          </w:p>
        </w:tc>
      </w:tr>
      <w:tr>
        <w:trPr>
          <w:cantSplit/>
          <w:trHeight w:val="552"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营业执照号</w:t>
            </w:r>
          </w:p>
        </w:tc>
        <w:tc>
          <w:tcPr>
            <w:tcW w:w="6886" w:type="dxa"/>
            <w:gridSpan w:val="3"/>
            <w:vAlign w:val="center"/>
          </w:tcPr>
          <w:p>
            <w:pPr>
              <w:pStyle w:val="8"/>
              <w:spacing w:after="0" w:line="560" w:lineRule="exact"/>
              <w:ind w:left="0" w:leftChars="0"/>
              <w:rPr>
                <w:rFonts w:hAnsi="宋体" w:cs="Arial"/>
                <w:color w:val="000000"/>
                <w:sz w:val="24"/>
              </w:rPr>
            </w:pPr>
          </w:p>
        </w:tc>
      </w:tr>
      <w:tr>
        <w:trPr>
          <w:cantSplit/>
          <w:trHeight w:val="627"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注册资金</w:t>
            </w:r>
          </w:p>
        </w:tc>
        <w:tc>
          <w:tcPr>
            <w:tcW w:w="6886" w:type="dxa"/>
            <w:gridSpan w:val="3"/>
            <w:vAlign w:val="center"/>
          </w:tcPr>
          <w:p>
            <w:pPr>
              <w:pStyle w:val="8"/>
              <w:spacing w:after="0" w:line="560" w:lineRule="exact"/>
              <w:ind w:left="0" w:leftChars="0"/>
              <w:rPr>
                <w:rFonts w:hAnsi="宋体" w:cs="Arial"/>
                <w:color w:val="000000"/>
                <w:sz w:val="24"/>
              </w:rPr>
            </w:pPr>
          </w:p>
        </w:tc>
      </w:tr>
      <w:tr>
        <w:trPr>
          <w:cantSplit/>
          <w:trHeight w:val="565"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开户银行</w:t>
            </w:r>
          </w:p>
        </w:tc>
        <w:tc>
          <w:tcPr>
            <w:tcW w:w="6886" w:type="dxa"/>
            <w:gridSpan w:val="3"/>
            <w:vAlign w:val="center"/>
          </w:tcPr>
          <w:p>
            <w:pPr>
              <w:pStyle w:val="8"/>
              <w:spacing w:after="0" w:line="560" w:lineRule="exact"/>
              <w:ind w:left="0" w:leftChars="0"/>
              <w:rPr>
                <w:rFonts w:hAnsi="宋体" w:cs="Arial"/>
                <w:color w:val="000000"/>
                <w:sz w:val="24"/>
              </w:rPr>
            </w:pPr>
          </w:p>
        </w:tc>
      </w:tr>
      <w:tr>
        <w:trPr>
          <w:cantSplit/>
          <w:trHeight w:val="620"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账号</w:t>
            </w:r>
          </w:p>
        </w:tc>
        <w:tc>
          <w:tcPr>
            <w:tcW w:w="6886" w:type="dxa"/>
            <w:gridSpan w:val="3"/>
            <w:vAlign w:val="center"/>
          </w:tcPr>
          <w:p>
            <w:pPr>
              <w:pStyle w:val="8"/>
              <w:spacing w:after="0" w:line="560" w:lineRule="exact"/>
              <w:ind w:left="0" w:leftChars="0"/>
              <w:rPr>
                <w:rFonts w:hAnsi="宋体" w:cs="Arial"/>
                <w:color w:val="000000"/>
                <w:sz w:val="24"/>
              </w:rPr>
            </w:pPr>
          </w:p>
        </w:tc>
      </w:tr>
      <w:tr>
        <w:trPr>
          <w:trHeight w:val="1745"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经营范围</w:t>
            </w:r>
          </w:p>
        </w:tc>
        <w:tc>
          <w:tcPr>
            <w:tcW w:w="6886" w:type="dxa"/>
            <w:gridSpan w:val="3"/>
            <w:vAlign w:val="center"/>
          </w:tcPr>
          <w:p>
            <w:pPr>
              <w:pStyle w:val="8"/>
              <w:spacing w:after="0" w:line="560" w:lineRule="exact"/>
              <w:ind w:left="0" w:leftChars="0"/>
              <w:rPr>
                <w:rFonts w:hAnsi="宋体" w:cs="Arial"/>
                <w:color w:val="000000"/>
                <w:sz w:val="24"/>
              </w:rPr>
            </w:pPr>
          </w:p>
        </w:tc>
      </w:tr>
      <w:tr>
        <w:trPr>
          <w:trHeight w:val="1978" w:hRule="atLeast"/>
        </w:trPr>
        <w:tc>
          <w:tcPr>
            <w:tcW w:w="1843"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备  注</w:t>
            </w:r>
          </w:p>
        </w:tc>
        <w:tc>
          <w:tcPr>
            <w:tcW w:w="6886" w:type="dxa"/>
            <w:gridSpan w:val="3"/>
          </w:tcPr>
          <w:p>
            <w:pPr>
              <w:pStyle w:val="8"/>
              <w:spacing w:after="0" w:line="560" w:lineRule="exact"/>
              <w:ind w:left="0" w:leftChars="0"/>
              <w:rPr>
                <w:rFonts w:hAnsi="宋体" w:cs="Arial"/>
                <w:color w:val="000000"/>
                <w:sz w:val="24"/>
              </w:rPr>
            </w:pPr>
          </w:p>
        </w:tc>
      </w:tr>
    </w:tbl>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p>
    <w:p>
      <w:pPr>
        <w:pStyle w:val="9"/>
      </w:pPr>
    </w:p>
    <w:p>
      <w:pPr>
        <w:pStyle w:val="8"/>
        <w:spacing w:after="0" w:line="560" w:lineRule="exact"/>
        <w:ind w:left="0" w:leftChars="0"/>
        <w:rPr>
          <w:rFonts w:hAnsi="宋体" w:cs="Arial"/>
          <w:color w:val="000000"/>
          <w:sz w:val="24"/>
        </w:rPr>
      </w:pPr>
      <w:r>
        <w:rPr>
          <w:rFonts w:hAnsi="宋体" w:cs="Arial"/>
          <w:color w:val="000000"/>
          <w:sz w:val="24"/>
        </w:rPr>
        <w:t>2.</w:t>
      </w:r>
      <w:r>
        <w:rPr>
          <w:rFonts w:hint="eastAsia" w:hAnsi="宋体" w:cs="Arial"/>
          <w:color w:val="000000"/>
          <w:sz w:val="24"/>
        </w:rPr>
        <w:t>供应商</w:t>
      </w:r>
      <w:r>
        <w:rPr>
          <w:rFonts w:hAnsi="宋体" w:cs="Arial"/>
          <w:color w:val="000000"/>
          <w:sz w:val="24"/>
        </w:rPr>
        <w:t>公司简介（应包含但不限于以下内容）；</w:t>
      </w:r>
    </w:p>
    <w:p>
      <w:pPr>
        <w:pStyle w:val="8"/>
        <w:spacing w:after="0" w:line="560" w:lineRule="exact"/>
        <w:ind w:left="0" w:leftChars="0"/>
        <w:rPr>
          <w:rFonts w:hAnsi="宋体" w:cs="Arial"/>
          <w:color w:val="000000"/>
          <w:sz w:val="24"/>
        </w:rPr>
      </w:pPr>
      <w:r>
        <w:rPr>
          <w:rFonts w:hAnsi="宋体" w:cs="Arial"/>
          <w:color w:val="000000"/>
          <w:sz w:val="24"/>
        </w:rPr>
        <w:t>（1）企业性质、隶属关系；</w:t>
      </w:r>
    </w:p>
    <w:p>
      <w:pPr>
        <w:pStyle w:val="8"/>
        <w:spacing w:after="0" w:line="560" w:lineRule="exact"/>
        <w:ind w:left="0" w:leftChars="0"/>
        <w:rPr>
          <w:rFonts w:hAnsi="宋体" w:cs="Arial"/>
          <w:color w:val="000000"/>
          <w:sz w:val="24"/>
        </w:rPr>
      </w:pPr>
      <w:r>
        <w:rPr>
          <w:rFonts w:hAnsi="宋体" w:cs="Arial"/>
          <w:color w:val="000000"/>
          <w:sz w:val="24"/>
        </w:rPr>
        <w:t>（2）组织架构及业务范围；</w:t>
      </w:r>
    </w:p>
    <w:p>
      <w:pPr>
        <w:pStyle w:val="8"/>
        <w:spacing w:after="0" w:line="560" w:lineRule="exact"/>
        <w:ind w:left="0" w:leftChars="0"/>
        <w:rPr>
          <w:rFonts w:hAnsi="宋体" w:cs="Arial"/>
          <w:color w:val="000000"/>
          <w:sz w:val="24"/>
        </w:rPr>
      </w:pPr>
      <w:r>
        <w:rPr>
          <w:rFonts w:hAnsi="宋体" w:cs="Arial"/>
          <w:color w:val="000000"/>
          <w:sz w:val="24"/>
        </w:rPr>
        <w:t>（3）主营业务情况；</w:t>
      </w:r>
    </w:p>
    <w:p>
      <w:pPr>
        <w:pStyle w:val="8"/>
        <w:spacing w:after="0" w:line="560" w:lineRule="exact"/>
        <w:ind w:left="0" w:leftChars="0"/>
        <w:rPr>
          <w:rFonts w:hAnsi="宋体" w:cs="Arial"/>
          <w:color w:val="000000"/>
          <w:sz w:val="24"/>
        </w:rPr>
      </w:pPr>
      <w:r>
        <w:rPr>
          <w:rFonts w:hAnsi="宋体" w:cs="Arial"/>
          <w:color w:val="000000"/>
          <w:sz w:val="24"/>
        </w:rPr>
        <w:t>（4）职工人数（其中技术人员及管理人员情况）</w:t>
      </w:r>
    </w:p>
    <w:p>
      <w:pPr>
        <w:pStyle w:val="8"/>
        <w:spacing w:after="0" w:line="560" w:lineRule="exact"/>
        <w:ind w:left="0" w:leftChars="0"/>
        <w:rPr>
          <w:rFonts w:hAnsi="宋体" w:cs="Arial"/>
          <w:color w:val="000000"/>
          <w:sz w:val="24"/>
        </w:rPr>
      </w:pPr>
    </w:p>
    <w:p>
      <w:pPr>
        <w:numPr>
          <w:ilvl w:val="0"/>
          <w:numId w:val="4"/>
        </w:numPr>
        <w:rPr>
          <w:rFonts w:hAnsi="宋体" w:cs="Arial"/>
          <w:color w:val="000000"/>
          <w:sz w:val="24"/>
        </w:rPr>
      </w:pPr>
      <w:r>
        <w:rPr>
          <w:rFonts w:hint="eastAsia" w:hAnsi="宋体" w:cs="Arial"/>
          <w:color w:val="000000"/>
          <w:sz w:val="24"/>
        </w:rPr>
        <w:t>法人或者其他组织的营业执照等证明文件，自然人的身份证明：提供法人或其他组织的营业执照等证明文件，或自然人身份证明；（具体要求详见初步审查表）</w:t>
      </w:r>
    </w:p>
    <w:p>
      <w:pPr>
        <w:pStyle w:val="8"/>
        <w:spacing w:after="0" w:line="560" w:lineRule="exact"/>
        <w:ind w:left="0" w:leftChars="0"/>
        <w:rPr>
          <w:rFonts w:hAnsi="宋体" w:cs="Arial"/>
          <w:color w:val="000000"/>
          <w:sz w:val="24"/>
        </w:rPr>
      </w:pPr>
    </w:p>
    <w:p>
      <w:pPr>
        <w:pStyle w:val="8"/>
        <w:numPr>
          <w:ilvl w:val="0"/>
          <w:numId w:val="4"/>
        </w:numPr>
        <w:spacing w:after="0" w:line="560" w:lineRule="exact"/>
        <w:ind w:leftChars="0"/>
        <w:rPr>
          <w:rFonts w:hAnsi="宋体" w:cs="Arial"/>
          <w:color w:val="000000"/>
          <w:sz w:val="24"/>
        </w:rPr>
      </w:pPr>
      <w:r>
        <w:rPr>
          <w:rFonts w:hint="eastAsia" w:hAnsi="宋体" w:cs="Arial"/>
          <w:color w:val="000000"/>
          <w:sz w:val="24"/>
        </w:rPr>
        <w:t>财务状况报告，依法缴纳税收和社会保障资金的相关材料：</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财务状况报告：即为2</w:t>
      </w:r>
      <w:r>
        <w:rPr>
          <w:rFonts w:hint="eastAsia" w:hAnsi="宋体" w:cs="Arial"/>
          <w:color w:val="000000"/>
          <w:sz w:val="24"/>
          <w:lang w:val="en-US" w:eastAsia="zh-CN"/>
        </w:rPr>
        <w:t>024</w:t>
      </w:r>
      <w:r>
        <w:rPr>
          <w:rFonts w:hint="eastAsia" w:hAnsi="宋体" w:cs="Arial"/>
          <w:color w:val="000000"/>
          <w:sz w:val="24"/>
        </w:rPr>
        <w:t>年度经会计师事务所出具的财务审计报告，或采购人财务出具的202</w:t>
      </w:r>
      <w:r>
        <w:rPr>
          <w:rFonts w:hint="eastAsia" w:hAnsi="宋体" w:cs="Arial"/>
          <w:color w:val="000000"/>
          <w:sz w:val="24"/>
          <w:lang w:val="en-US" w:eastAsia="zh-CN"/>
        </w:rPr>
        <w:t>4</w:t>
      </w:r>
      <w:r>
        <w:rPr>
          <w:rFonts w:hint="eastAsia" w:hAnsi="宋体" w:cs="Arial"/>
          <w:color w:val="000000"/>
          <w:sz w:val="24"/>
        </w:rPr>
        <w:t>年6月至今任意一月财务报表，或开户银行出具的近六个月内的资信证明均可；如为新成立公司须提供银行出具的资信证明；</w:t>
      </w:r>
    </w:p>
    <w:p>
      <w:pPr>
        <w:pStyle w:val="8"/>
        <w:spacing w:after="0" w:line="560" w:lineRule="exact"/>
        <w:ind w:left="0" w:leftChars="0" w:firstLine="480" w:firstLineChars="200"/>
        <w:rPr>
          <w:color w:val="000000"/>
        </w:rPr>
      </w:pPr>
      <w:r>
        <w:rPr>
          <w:rFonts w:hint="eastAsia" w:hAnsi="宋体" w:cs="Arial"/>
          <w:color w:val="000000"/>
          <w:sz w:val="24"/>
        </w:rPr>
        <w:t>依法缴纳税收和社会保障资金：</w:t>
      </w:r>
      <w:r>
        <w:rPr>
          <w:rFonts w:hint="eastAsia" w:hAnsi="宋体" w:cs="Times"/>
          <w:color w:val="000000"/>
          <w:sz w:val="24"/>
        </w:rPr>
        <w:t>提供202</w:t>
      </w:r>
      <w:r>
        <w:rPr>
          <w:rFonts w:hint="eastAsia" w:hAnsi="宋体" w:cs="Times"/>
          <w:color w:val="000000"/>
          <w:sz w:val="24"/>
          <w:lang w:val="en-US" w:eastAsia="zh-CN"/>
        </w:rPr>
        <w:t>4</w:t>
      </w:r>
      <w:r>
        <w:rPr>
          <w:rFonts w:hint="eastAsia" w:hAnsi="宋体" w:cs="Times"/>
          <w:color w:val="000000"/>
          <w:sz w:val="24"/>
        </w:rPr>
        <w:t>年至竞争性磋商截止时间任意3个月有效的依法缴纳税收和社会保障资金的证明材料；(依法免税或不需要缴纳社会保障资金的需提供证明文件)</w:t>
      </w:r>
    </w:p>
    <w:p>
      <w:pPr>
        <w:pStyle w:val="8"/>
        <w:numPr>
          <w:ilvl w:val="0"/>
          <w:numId w:val="4"/>
        </w:numPr>
        <w:spacing w:after="0" w:line="560" w:lineRule="exact"/>
        <w:ind w:leftChars="0"/>
        <w:rPr>
          <w:rFonts w:hAnsi="宋体" w:cs="Arial"/>
          <w:color w:val="000000"/>
          <w:sz w:val="24"/>
        </w:rPr>
      </w:pPr>
      <w:r>
        <w:rPr>
          <w:rFonts w:hint="eastAsia" w:hAnsi="宋体" w:cs="Arial"/>
          <w:color w:val="000000"/>
          <w:sz w:val="24"/>
        </w:rPr>
        <w:t>具备履行合同所必需的设备和专业技术能力的证明材料或承诺函：</w:t>
      </w:r>
    </w:p>
    <w:p>
      <w:pPr>
        <w:pStyle w:val="8"/>
        <w:spacing w:after="0" w:line="560" w:lineRule="exact"/>
        <w:ind w:left="0" w:leftChars="0" w:firstLine="480" w:firstLineChars="200"/>
        <w:rPr>
          <w:color w:val="000000"/>
        </w:rPr>
      </w:pPr>
      <w:r>
        <w:rPr>
          <w:rFonts w:hint="eastAsia" w:hAnsi="宋体" w:cs="Arial"/>
          <w:color w:val="000000"/>
          <w:sz w:val="24"/>
        </w:rPr>
        <w:t>提供具备履行合同所必需的设备和专业技术能力的承诺函或相关证明材料；（具体要求详见初步审查表）</w:t>
      </w:r>
    </w:p>
    <w:p>
      <w:pPr>
        <w:pStyle w:val="8"/>
        <w:numPr>
          <w:ilvl w:val="0"/>
          <w:numId w:val="0"/>
        </w:numPr>
        <w:spacing w:after="0" w:line="560" w:lineRule="exact"/>
        <w:ind w:leftChars="0"/>
        <w:rPr>
          <w:color w:val="000000"/>
        </w:rPr>
      </w:pPr>
      <w:r>
        <w:rPr>
          <w:rFonts w:hint="eastAsia" w:hAnsi="宋体" w:cs="Arial"/>
          <w:color w:val="000000"/>
          <w:sz w:val="24"/>
          <w:lang w:val="en-US" w:eastAsia="zh-CN"/>
        </w:rPr>
        <w:t>4.</w:t>
      </w:r>
      <w:r>
        <w:rPr>
          <w:rFonts w:hint="eastAsia" w:hAnsi="宋体" w:cs="Arial"/>
          <w:color w:val="000000"/>
          <w:sz w:val="24"/>
        </w:rPr>
        <w:t>参加采购活动前3年内在经营活动中没有重大违法记录的书面声明（具体要求详见初步审查表）</w:t>
      </w:r>
    </w:p>
    <w:p>
      <w:pPr>
        <w:pStyle w:val="8"/>
        <w:numPr>
          <w:ilvl w:val="0"/>
          <w:numId w:val="0"/>
        </w:numPr>
        <w:spacing w:after="0" w:line="560" w:lineRule="exact"/>
        <w:ind w:leftChars="0"/>
        <w:rPr>
          <w:color w:val="000000"/>
        </w:rPr>
      </w:pPr>
      <w:r>
        <w:rPr>
          <w:rFonts w:hint="eastAsia" w:hAnsi="宋体" w:cs="Arial"/>
          <w:color w:val="000000"/>
          <w:sz w:val="24"/>
          <w:lang w:val="en-US" w:eastAsia="zh-CN"/>
        </w:rPr>
        <w:t>5.</w:t>
      </w:r>
      <w:r>
        <w:rPr>
          <w:rFonts w:hint="eastAsia" w:hAnsi="宋体" w:cs="Arial"/>
          <w:color w:val="000000"/>
          <w:sz w:val="24"/>
        </w:rPr>
        <w:t>特殊行业资质或要求（具体要求详见初步审查表）</w:t>
      </w:r>
    </w:p>
    <w:p>
      <w:pPr>
        <w:pStyle w:val="8"/>
        <w:numPr>
          <w:ilvl w:val="0"/>
          <w:numId w:val="0"/>
        </w:numPr>
        <w:spacing w:after="0" w:line="560" w:lineRule="exact"/>
        <w:ind w:leftChars="0"/>
        <w:rPr>
          <w:rFonts w:hAnsi="宋体" w:cs="Arial"/>
          <w:color w:val="000000"/>
          <w:sz w:val="24"/>
        </w:rPr>
      </w:pPr>
      <w:r>
        <w:rPr>
          <w:rFonts w:hint="eastAsia" w:hAnsi="宋体" w:cs="Arial"/>
          <w:color w:val="000000"/>
          <w:sz w:val="24"/>
          <w:lang w:val="en-US" w:eastAsia="zh-CN"/>
        </w:rPr>
        <w:t>6.</w:t>
      </w:r>
      <w:r>
        <w:rPr>
          <w:rFonts w:hint="eastAsia" w:hAnsi="宋体" w:cs="Arial"/>
          <w:color w:val="000000"/>
          <w:sz w:val="24"/>
        </w:rPr>
        <w:t>法律、行政法规规定的其他条件：</w:t>
      </w:r>
    </w:p>
    <w:p>
      <w:pPr>
        <w:pStyle w:val="8"/>
        <w:spacing w:after="0" w:line="560" w:lineRule="exact"/>
        <w:ind w:left="0" w:leftChars="0" w:firstLine="480" w:firstLineChars="200"/>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pPr>
        <w:pStyle w:val="8"/>
        <w:spacing w:after="0" w:line="560" w:lineRule="exact"/>
        <w:ind w:left="0" w:leftChars="0"/>
        <w:rPr>
          <w:rFonts w:hAnsi="宋体" w:cs="Arial"/>
          <w:color w:val="000000"/>
          <w:sz w:val="24"/>
        </w:rPr>
      </w:pPr>
      <w:r>
        <w:rPr>
          <w:rFonts w:hint="eastAsia" w:hAnsi="宋体" w:cs="Arial"/>
          <w:color w:val="000000"/>
          <w:sz w:val="24"/>
        </w:rPr>
        <w:t>①“信用中国”网站（www.creditchina.gov.cn）（输入网址、输入公司名称、点击公司名称即出现查询结果）；</w:t>
      </w:r>
    </w:p>
    <w:p>
      <w:pPr>
        <w:pStyle w:val="8"/>
        <w:spacing w:after="0" w:line="560" w:lineRule="exact"/>
        <w:ind w:left="0" w:leftChars="0"/>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②中国政府采购网（www.ccgp.gov.cn）（输入网址、点击“政府采购严重违法失信行为记录名单”、输入竞争性磋商单位名称、点击“查找”，即出现查询结果。</w:t>
      </w:r>
    </w:p>
    <w:p>
      <w:pPr>
        <w:pStyle w:val="8"/>
        <w:spacing w:after="0" w:line="560" w:lineRule="exact"/>
        <w:ind w:left="0" w:leftChars="0"/>
        <w:rPr>
          <w:rFonts w:hAnsi="宋体" w:cs="Arial"/>
          <w:color w:val="000000"/>
          <w:sz w:val="24"/>
        </w:rPr>
      </w:pPr>
      <w:r>
        <w:rPr>
          <w:rFonts w:hint="eastAsia" w:hAnsi="宋体" w:cs="Arial"/>
          <w:color w:val="000000"/>
          <w:sz w:val="24"/>
        </w:rPr>
        <w:t>查询截止时点：协商前30天任一时间；</w:t>
      </w:r>
    </w:p>
    <w:p>
      <w:pPr>
        <w:pStyle w:val="8"/>
        <w:spacing w:after="0" w:line="560" w:lineRule="exact"/>
        <w:ind w:left="0" w:leftChars="0"/>
        <w:rPr>
          <w:rFonts w:hAnsi="宋体" w:cs="Arial"/>
          <w:color w:val="000000"/>
          <w:sz w:val="24"/>
        </w:rPr>
      </w:pPr>
      <w:r>
        <w:rPr>
          <w:rFonts w:hint="eastAsia" w:hAnsi="宋体" w:cs="Arial"/>
          <w:color w:val="000000"/>
          <w:sz w:val="24"/>
        </w:rPr>
        <w:drawing>
          <wp:anchor distT="0" distB="0" distL="0" distR="0" simplePos="0" relativeHeight="251659264"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rPr>
        <w:t>信用信息查询记录和证据留存方式：采购人提供查询记录截图或下载信用信息（承诺函或截图）（采购人对提供截图或下载信息的真实性负责）。示例：</w:t>
      </w:r>
    </w:p>
    <w:p>
      <w:pPr>
        <w:pStyle w:val="9"/>
        <w:ind w:firstLine="0"/>
        <w:jc w:val="center"/>
        <w:rPr>
          <w:rFonts w:ascii="宋体" w:hAnsi="宋体" w:cs="宋体"/>
          <w:color w:val="000000"/>
        </w:rPr>
      </w:pPr>
      <w:r>
        <w:rPr>
          <w:rFonts w:ascii="宋体" w:hAnsi="宋体" w:cs="宋体"/>
          <w:color w:val="000000"/>
        </w:rPr>
        <w:drawing>
          <wp:inline distT="0" distB="0" distL="114300" distR="114300">
            <wp:extent cx="4306570" cy="2993390"/>
            <wp:effectExtent l="0" t="0" r="1778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pPr>
        <w:pStyle w:val="9"/>
        <w:ind w:firstLine="0"/>
        <w:jc w:val="center"/>
        <w:rPr>
          <w:rFonts w:ascii="宋体" w:hAnsi="宋体" w:cs="宋体"/>
          <w:color w:val="000000"/>
        </w:rPr>
      </w:pPr>
    </w:p>
    <w:p>
      <w:pPr>
        <w:pStyle w:val="8"/>
        <w:spacing w:after="0" w:line="560" w:lineRule="exact"/>
        <w:ind w:left="0" w:leftChars="0"/>
        <w:rPr>
          <w:rFonts w:hAnsi="宋体" w:cs="Arial"/>
          <w:color w:val="000000"/>
          <w:sz w:val="24"/>
        </w:rPr>
      </w:pPr>
      <w:r>
        <w:rPr>
          <w:rFonts w:hint="eastAsia" w:hAnsi="宋体" w:cs="Arial"/>
          <w:color w:val="000000"/>
          <w:sz w:val="24"/>
        </w:rPr>
        <w:t>9.授权委托书</w:t>
      </w:r>
    </w:p>
    <w:p>
      <w:pPr>
        <w:pStyle w:val="8"/>
        <w:spacing w:after="0" w:line="560" w:lineRule="exact"/>
        <w:ind w:left="0" w:leftChars="0"/>
        <w:rPr>
          <w:rFonts w:hAnsi="宋体" w:cs="Arial"/>
          <w:color w:val="000000"/>
          <w:sz w:val="24"/>
        </w:rPr>
      </w:pPr>
      <w:bookmarkStart w:id="147" w:name="_Hlk503378070"/>
      <w:r>
        <w:rPr>
          <w:rFonts w:hint="eastAsia" w:hAnsi="宋体" w:cs="Arial"/>
          <w:color w:val="000000"/>
          <w:sz w:val="24"/>
        </w:rPr>
        <w:t>（1）法人授权委托书（如为授权代表参与项目提供此委托）</w:t>
      </w:r>
      <w:bookmarkEnd w:id="147"/>
    </w:p>
    <w:p>
      <w:pPr>
        <w:pStyle w:val="8"/>
        <w:spacing w:after="0" w:line="560" w:lineRule="exact"/>
        <w:ind w:left="0" w:leftChars="0"/>
        <w:jc w:val="both"/>
        <w:rPr>
          <w:rFonts w:hAnsi="宋体" w:cs="Arial"/>
          <w:color w:val="000000"/>
          <w:sz w:val="32"/>
          <w:szCs w:val="22"/>
        </w:rPr>
      </w:pPr>
    </w:p>
    <w:p>
      <w:pPr>
        <w:pStyle w:val="8"/>
        <w:spacing w:after="0" w:line="560" w:lineRule="exact"/>
        <w:ind w:left="0" w:leftChars="0"/>
        <w:jc w:val="center"/>
        <w:rPr>
          <w:rFonts w:hAnsi="宋体" w:cs="Arial"/>
          <w:color w:val="000000"/>
          <w:sz w:val="32"/>
          <w:szCs w:val="22"/>
        </w:rPr>
      </w:pPr>
      <w:r>
        <w:rPr>
          <w:rFonts w:hint="eastAsia" w:hAnsi="宋体" w:cs="Arial"/>
          <w:color w:val="000000"/>
          <w:sz w:val="32"/>
          <w:szCs w:val="22"/>
        </w:rPr>
        <w:t>法人授权委托书</w:t>
      </w:r>
    </w:p>
    <w:p>
      <w:pPr>
        <w:pStyle w:val="8"/>
        <w:spacing w:after="0" w:line="560" w:lineRule="exact"/>
        <w:ind w:left="0" w:leftChars="0"/>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pPr>
        <w:pStyle w:val="8"/>
        <w:spacing w:after="0" w:line="560" w:lineRule="exact"/>
        <w:ind w:left="0" w:leftChars="0"/>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（身份证号码：）为本公司合法代理人，参加贵方组织的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pPr>
        <w:pStyle w:val="8"/>
        <w:spacing w:after="0" w:line="560" w:lineRule="exact"/>
        <w:ind w:left="0" w:leftChars="0"/>
        <w:rPr>
          <w:rFonts w:hAnsi="宋体" w:cs="Arial"/>
          <w:color w:val="000000"/>
          <w:sz w:val="24"/>
        </w:rPr>
      </w:pPr>
      <w:r>
        <w:rPr>
          <w:rFonts w:hint="eastAsia" w:hAnsi="宋体" w:cs="Arial"/>
          <w:color w:val="000000"/>
          <w:sz w:val="24"/>
        </w:rPr>
        <w:t>本授权委托书签章即生效，被委托人无转委托权。</w:t>
      </w:r>
    </w:p>
    <w:p>
      <w:pPr>
        <w:pStyle w:val="9"/>
        <w:rPr>
          <w:color w:val="000000"/>
        </w:rPr>
      </w:pP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pPr>
              <w:pStyle w:val="8"/>
              <w:spacing w:after="0" w:line="560" w:lineRule="exact"/>
              <w:ind w:left="0" w:leftChars="0"/>
              <w:rPr>
                <w:rFonts w:hAnsi="宋体" w:cs="Arial"/>
                <w:color w:val="000000"/>
                <w:sz w:val="24"/>
              </w:rPr>
            </w:pPr>
            <w:r>
              <w:rPr>
                <w:rFonts w:hint="eastAsia" w:hAnsi="宋体" w:cs="Arial"/>
                <w:color w:val="000000"/>
                <w:sz w:val="24"/>
              </w:rPr>
              <w:t>正面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8"/>
              <w:spacing w:after="0" w:line="560" w:lineRule="exact"/>
              <w:ind w:left="0" w:leftChars="0"/>
              <w:rPr>
                <w:rFonts w:hAnsi="宋体" w:cs="Arial"/>
                <w:color w:val="000000"/>
                <w:sz w:val="24"/>
              </w:rPr>
            </w:pPr>
            <w:r>
              <w:rPr>
                <w:rFonts w:hint="eastAsia" w:hAnsi="宋体" w:cs="Arial"/>
                <w:color w:val="000000"/>
                <w:sz w:val="24"/>
              </w:rPr>
              <w:t>正面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trPr>
          <w:trHeight w:val="2149" w:hRule="atLeast"/>
        </w:trPr>
        <w:tc>
          <w:tcPr>
            <w:tcW w:w="4560"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法定代理人身份证复印件</w:t>
            </w:r>
          </w:p>
          <w:p>
            <w:pPr>
              <w:pStyle w:val="8"/>
              <w:spacing w:after="0" w:line="560" w:lineRule="exact"/>
              <w:ind w:left="0" w:leftChars="0"/>
              <w:rPr>
                <w:rFonts w:hAnsi="宋体" w:cs="Arial"/>
                <w:color w:val="000000"/>
                <w:sz w:val="24"/>
              </w:rPr>
            </w:pPr>
            <w:r>
              <w:rPr>
                <w:rFonts w:hint="eastAsia" w:hAnsi="宋体" w:cs="Arial"/>
                <w:color w:val="000000"/>
                <w:sz w:val="24"/>
              </w:rPr>
              <w:t>反面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8"/>
              <w:spacing w:after="0" w:line="560" w:lineRule="exact"/>
              <w:ind w:left="0" w:leftChars="0"/>
              <w:rPr>
                <w:rFonts w:hAnsi="宋体" w:cs="Arial"/>
                <w:color w:val="000000"/>
                <w:sz w:val="24"/>
              </w:rPr>
            </w:pPr>
            <w:r>
              <w:rPr>
                <w:rFonts w:hint="eastAsia" w:hAnsi="宋体" w:cs="Arial"/>
                <w:color w:val="000000"/>
                <w:sz w:val="24"/>
              </w:rPr>
              <w:t>反面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8"/>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8"/>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pPr>
        <w:pStyle w:val="8"/>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（2）法人代表身份证明（如为法人代表参与项目提供此证明）</w:t>
      </w:r>
    </w:p>
    <w:p>
      <w:pPr>
        <w:pStyle w:val="8"/>
        <w:spacing w:after="0" w:line="560" w:lineRule="exact"/>
        <w:ind w:left="0" w:leftChars="0"/>
        <w:rPr>
          <w:rFonts w:hAnsi="宋体" w:cs="Arial"/>
          <w:color w:val="000000"/>
          <w:sz w:val="24"/>
        </w:rPr>
      </w:pPr>
    </w:p>
    <w:p>
      <w:pPr>
        <w:pStyle w:val="8"/>
        <w:spacing w:after="0" w:line="560" w:lineRule="exact"/>
        <w:ind w:left="0" w:leftChars="0"/>
        <w:jc w:val="center"/>
        <w:rPr>
          <w:rFonts w:hAnsi="宋体" w:cs="Arial"/>
          <w:color w:val="000000"/>
          <w:sz w:val="32"/>
          <w:szCs w:val="22"/>
        </w:rPr>
      </w:pPr>
      <w:r>
        <w:rPr>
          <w:rFonts w:hint="eastAsia" w:hAnsi="宋体" w:cs="Arial"/>
          <w:color w:val="000000"/>
          <w:sz w:val="32"/>
          <w:szCs w:val="22"/>
        </w:rPr>
        <w:t>法人代表身份证明</w:t>
      </w:r>
    </w:p>
    <w:p>
      <w:pPr>
        <w:pStyle w:val="9"/>
        <w:rPr>
          <w:color w:val="000000"/>
        </w:rPr>
      </w:pPr>
    </w:p>
    <w:p>
      <w:pPr>
        <w:pStyle w:val="8"/>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pPr>
        <w:pStyle w:val="8"/>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pPr>
        <w:pStyle w:val="9"/>
        <w:rPr>
          <w:color w:val="000000"/>
        </w:rPr>
      </w:pP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8"/>
              <w:spacing w:after="0" w:line="560" w:lineRule="exact"/>
              <w:ind w:left="0" w:leftChars="0"/>
              <w:rPr>
                <w:rFonts w:hAnsi="宋体" w:cs="Arial"/>
                <w:color w:val="000000"/>
                <w:sz w:val="24"/>
              </w:rPr>
            </w:pPr>
            <w:r>
              <w:rPr>
                <w:rFonts w:hint="eastAsia" w:hAnsi="宋体" w:cs="Arial"/>
                <w:color w:val="000000"/>
                <w:sz w:val="24"/>
              </w:rPr>
              <w:t>正面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8"/>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8"/>
              <w:spacing w:after="0" w:line="560" w:lineRule="exact"/>
              <w:ind w:left="0" w:leftChars="0"/>
              <w:rPr>
                <w:rFonts w:hAnsi="宋体" w:cs="Arial"/>
                <w:color w:val="000000"/>
                <w:sz w:val="24"/>
              </w:rPr>
            </w:pPr>
            <w:r>
              <w:rPr>
                <w:rFonts w:hint="eastAsia" w:hAnsi="宋体" w:cs="Arial"/>
                <w:color w:val="000000"/>
                <w:sz w:val="24"/>
              </w:rPr>
              <w:t>反面</w:t>
            </w:r>
          </w:p>
          <w:p>
            <w:pPr>
              <w:pStyle w:val="8"/>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8"/>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pPr>
        <w:pStyle w:val="8"/>
        <w:spacing w:after="0" w:line="560" w:lineRule="exact"/>
        <w:ind w:left="0" w:leftChars="0"/>
        <w:rPr>
          <w:rFonts w:hAnsi="宋体" w:cs="Arial"/>
          <w:color w:val="000000"/>
          <w:sz w:val="24"/>
        </w:rPr>
      </w:pPr>
      <w:r>
        <w:rPr>
          <w:rFonts w:hint="eastAsia" w:hAnsi="宋体" w:cs="Arial"/>
          <w:color w:val="000000"/>
          <w:sz w:val="24"/>
        </w:rPr>
        <w:t xml:space="preserve">供应商（公章）： </w:t>
      </w:r>
    </w:p>
    <w:p>
      <w:pPr>
        <w:pStyle w:val="8"/>
        <w:spacing w:after="0" w:line="560" w:lineRule="exact"/>
        <w:ind w:left="0" w:leftChars="0"/>
        <w:rPr>
          <w:rFonts w:hAnsi="宋体" w:cs="Arial"/>
          <w:color w:val="000000"/>
          <w:sz w:val="24"/>
        </w:rPr>
      </w:pPr>
      <w:r>
        <w:rPr>
          <w:rFonts w:hint="eastAsia" w:hAnsi="宋体" w:cs="Arial"/>
          <w:color w:val="000000"/>
          <w:sz w:val="24"/>
        </w:rPr>
        <w:t xml:space="preserve">年   月   日 </w:t>
      </w:r>
    </w:p>
    <w:p>
      <w:pPr>
        <w:pStyle w:val="8"/>
        <w:numPr>
          <w:ilvl w:val="0"/>
          <w:numId w:val="5"/>
        </w:numPr>
        <w:spacing w:after="0" w:line="560" w:lineRule="exact"/>
        <w:ind w:left="0" w:leftChars="0"/>
        <w:outlineLvl w:val="0"/>
        <w:rPr>
          <w:rFonts w:hAnsi="宋体" w:cs="Arial"/>
          <w:color w:val="000000"/>
          <w:sz w:val="24"/>
        </w:rPr>
      </w:pPr>
      <w:r>
        <w:rPr>
          <w:rFonts w:hint="eastAsia" w:hAnsi="宋体" w:cs="Arial"/>
          <w:color w:val="000000"/>
          <w:sz w:val="24"/>
        </w:rPr>
        <w:br w:type="page"/>
      </w:r>
      <w:bookmarkStart w:id="148" w:name="_Toc14398"/>
      <w:bookmarkStart w:id="149" w:name="_Toc27720"/>
      <w:r>
        <w:rPr>
          <w:rFonts w:hint="eastAsia" w:hAnsi="宋体" w:cs="Arial"/>
          <w:color w:val="000000"/>
          <w:sz w:val="24"/>
        </w:rPr>
        <w:t>技术文件</w:t>
      </w:r>
      <w:bookmarkEnd w:id="148"/>
      <w:bookmarkEnd w:id="149"/>
    </w:p>
    <w:p>
      <w:pPr>
        <w:pStyle w:val="11"/>
        <w:spacing w:line="440" w:lineRule="exact"/>
        <w:ind w:firstLine="437"/>
        <w:rPr>
          <w:rFonts w:hAnsi="宋体" w:cs="宋体"/>
          <w:color w:val="000000"/>
          <w:sz w:val="24"/>
          <w:szCs w:val="24"/>
        </w:rPr>
      </w:pPr>
      <w:r>
        <w:rPr>
          <w:rFonts w:hint="eastAsia" w:hAnsi="宋体" w:cs="宋体"/>
          <w:color w:val="000000"/>
          <w:sz w:val="24"/>
          <w:szCs w:val="24"/>
        </w:rPr>
        <w:t>应包含但不限于以下内容：</w:t>
      </w:r>
    </w:p>
    <w:p>
      <w:pPr>
        <w:pStyle w:val="11"/>
        <w:spacing w:line="440" w:lineRule="exact"/>
        <w:ind w:firstLine="437"/>
        <w:rPr>
          <w:rFonts w:hAnsi="宋体" w:cs="宋体"/>
          <w:color w:val="000000"/>
          <w:sz w:val="24"/>
          <w:szCs w:val="24"/>
        </w:rPr>
      </w:pPr>
      <w:r>
        <w:rPr>
          <w:rFonts w:hint="eastAsia" w:hAnsi="宋体" w:cs="宋体"/>
          <w:color w:val="000000"/>
          <w:sz w:val="24"/>
          <w:szCs w:val="24"/>
        </w:rPr>
        <w:t>1.服务方案（根据项目编写）</w:t>
      </w:r>
    </w:p>
    <w:p>
      <w:pPr>
        <w:pStyle w:val="11"/>
        <w:spacing w:line="440" w:lineRule="exact"/>
        <w:ind w:firstLine="437"/>
        <w:rPr>
          <w:rFonts w:hAnsi="宋体" w:cs="宋体"/>
          <w:color w:val="000000"/>
          <w:sz w:val="24"/>
          <w:szCs w:val="24"/>
        </w:rPr>
      </w:pPr>
    </w:p>
    <w:p>
      <w:pPr>
        <w:pStyle w:val="11"/>
        <w:spacing w:line="440" w:lineRule="exact"/>
        <w:ind w:firstLine="437"/>
        <w:rPr>
          <w:rFonts w:hAnsi="宋体" w:cs="宋体"/>
          <w:color w:val="000000"/>
          <w:sz w:val="24"/>
          <w:szCs w:val="24"/>
        </w:rPr>
      </w:pPr>
      <w:r>
        <w:rPr>
          <w:rFonts w:hint="eastAsia" w:hAnsi="宋体" w:cs="宋体"/>
          <w:color w:val="000000"/>
          <w:sz w:val="24"/>
          <w:szCs w:val="24"/>
        </w:rPr>
        <w:t>2. 供应商认为可提供的其他技术资料</w:t>
      </w:r>
    </w:p>
    <w:p>
      <w:pPr>
        <w:pStyle w:val="9"/>
        <w:ind w:firstLine="0"/>
        <w:rPr>
          <w:rFonts w:hAnsi="宋体" w:cs="Arial"/>
          <w:color w:val="000000"/>
          <w:sz w:val="24"/>
        </w:rPr>
      </w:pPr>
      <w:bookmarkStart w:id="150" w:name="_Toc406671158"/>
      <w:bookmarkStart w:id="151" w:name="_Toc406670787"/>
    </w:p>
    <w:p>
      <w:pPr>
        <w:pStyle w:val="9"/>
        <w:rPr>
          <w:rFonts w:hAnsi="宋体" w:cs="Arial"/>
          <w:color w:val="000000"/>
          <w:sz w:val="24"/>
        </w:rPr>
      </w:pPr>
    </w:p>
    <w:p>
      <w:pPr>
        <w:pStyle w:val="8"/>
        <w:spacing w:after="0" w:line="560" w:lineRule="exact"/>
        <w:ind w:left="0" w:leftChars="0"/>
        <w:outlineLvl w:val="0"/>
        <w:rPr>
          <w:rFonts w:hAnsi="宋体" w:cs="Arial"/>
          <w:color w:val="000000"/>
          <w:sz w:val="24"/>
        </w:rPr>
      </w:pPr>
      <w:bookmarkStart w:id="152" w:name="_Toc12098"/>
      <w:bookmarkStart w:id="153" w:name="_Toc3780"/>
      <w:r>
        <w:rPr>
          <w:rFonts w:hint="eastAsia" w:hAnsi="宋体" w:cs="Arial"/>
          <w:color w:val="000000"/>
          <w:sz w:val="24"/>
        </w:rPr>
        <w:t>四、商务文件</w:t>
      </w:r>
      <w:bookmarkEnd w:id="150"/>
      <w:bookmarkEnd w:id="151"/>
      <w:bookmarkEnd w:id="152"/>
      <w:bookmarkEnd w:id="153"/>
      <w:bookmarkStart w:id="154" w:name="_Toc406671166"/>
      <w:bookmarkStart w:id="155" w:name="_Toc406671730"/>
      <w:bookmarkStart w:id="156" w:name="_Toc406672428"/>
      <w:bookmarkStart w:id="157" w:name="_Toc406670795"/>
    </w:p>
    <w:p>
      <w:pPr>
        <w:pStyle w:val="8"/>
        <w:spacing w:after="0" w:line="560" w:lineRule="exact"/>
        <w:ind w:left="0" w:leftChars="0"/>
        <w:rPr>
          <w:rFonts w:hAnsi="宋体" w:cs="Arial"/>
          <w:color w:val="000000"/>
          <w:sz w:val="24"/>
        </w:rPr>
      </w:pPr>
      <w:r>
        <w:rPr>
          <w:rFonts w:hint="eastAsia" w:hAnsi="宋体" w:cs="Arial"/>
          <w:color w:val="000000"/>
          <w:sz w:val="24"/>
        </w:rPr>
        <w:t>（一）商务文件内容</w:t>
      </w:r>
    </w:p>
    <w:p>
      <w:pPr>
        <w:pStyle w:val="8"/>
        <w:spacing w:after="0" w:line="560" w:lineRule="exact"/>
        <w:ind w:left="0" w:leftChars="0"/>
        <w:rPr>
          <w:rFonts w:hAnsi="宋体" w:cs="Arial"/>
          <w:color w:val="000000"/>
          <w:sz w:val="24"/>
        </w:rPr>
      </w:pPr>
      <w:r>
        <w:rPr>
          <w:rFonts w:hint="eastAsia" w:hAnsi="宋体" w:cs="Arial"/>
          <w:color w:val="000000"/>
          <w:sz w:val="24"/>
        </w:rPr>
        <w:t>1.商务偏离表</w:t>
      </w:r>
      <w:bookmarkEnd w:id="154"/>
      <w:bookmarkEnd w:id="155"/>
      <w:bookmarkEnd w:id="156"/>
      <w:bookmarkEnd w:id="157"/>
      <w:r>
        <w:rPr>
          <w:rFonts w:hint="eastAsia" w:hAnsi="宋体" w:cs="Arial"/>
          <w:color w:val="000000"/>
          <w:sz w:val="24"/>
        </w:rPr>
        <w:t>或书面承诺满足竞争性磋商文件商务条款</w:t>
      </w:r>
    </w:p>
    <w:p>
      <w:pPr>
        <w:pStyle w:val="9"/>
        <w:ind w:firstLine="0"/>
        <w:rPr>
          <w:rFonts w:hAnsi="宋体" w:cs="Arial"/>
          <w:color w:val="000000"/>
          <w:sz w:val="24"/>
        </w:rPr>
      </w:pPr>
    </w:p>
    <w:p>
      <w:pPr>
        <w:pStyle w:val="9"/>
        <w:ind w:firstLine="0"/>
        <w:rPr>
          <w:rFonts w:hAnsi="宋体" w:cs="Arial"/>
          <w:color w:val="000000"/>
          <w:sz w:val="24"/>
        </w:rPr>
      </w:pPr>
    </w:p>
    <w:p>
      <w:pPr>
        <w:pStyle w:val="8"/>
        <w:spacing w:after="0" w:line="560" w:lineRule="exact"/>
        <w:ind w:left="0" w:leftChars="0"/>
        <w:jc w:val="center"/>
        <w:rPr>
          <w:rFonts w:hAnsi="宋体" w:cs="Arial"/>
          <w:color w:val="000000"/>
          <w:sz w:val="24"/>
        </w:rPr>
      </w:pPr>
      <w:r>
        <w:rPr>
          <w:rFonts w:hint="eastAsia" w:hAnsi="宋体" w:cs="Arial"/>
          <w:color w:val="000000"/>
          <w:sz w:val="24"/>
        </w:rPr>
        <w:t>商务偏离表</w:t>
      </w:r>
    </w:p>
    <w:p>
      <w:pPr>
        <w:pStyle w:val="8"/>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21"/>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序号</w:t>
            </w:r>
          </w:p>
        </w:tc>
        <w:tc>
          <w:tcPr>
            <w:tcW w:w="2263"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商务条款</w:t>
            </w:r>
          </w:p>
        </w:tc>
        <w:tc>
          <w:tcPr>
            <w:tcW w:w="2001"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采购文件要求</w:t>
            </w:r>
          </w:p>
        </w:tc>
        <w:tc>
          <w:tcPr>
            <w:tcW w:w="2652"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响应文件响应情况</w:t>
            </w:r>
          </w:p>
        </w:tc>
        <w:tc>
          <w:tcPr>
            <w:tcW w:w="1399"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偏离情况</w:t>
            </w: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1</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2</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3</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4</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5</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6</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7</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jc w:val="center"/>
              <w:rPr>
                <w:rFonts w:hAnsi="宋体" w:cs="Arial"/>
                <w:color w:val="000000"/>
                <w:sz w:val="24"/>
              </w:rPr>
            </w:pPr>
            <w:r>
              <w:rPr>
                <w:rFonts w:hint="eastAsia" w:hAnsi="宋体" w:cs="Arial"/>
                <w:color w:val="000000"/>
                <w:sz w:val="24"/>
              </w:rPr>
              <w:t>8</w:t>
            </w:r>
          </w:p>
        </w:tc>
        <w:tc>
          <w:tcPr>
            <w:tcW w:w="2263" w:type="dxa"/>
            <w:vAlign w:val="center"/>
          </w:tcPr>
          <w:p>
            <w:pPr>
              <w:pStyle w:val="8"/>
              <w:spacing w:after="0" w:line="560" w:lineRule="exact"/>
              <w:ind w:left="0" w:leftChars="0"/>
              <w:jc w:val="center"/>
              <w:rPr>
                <w:rFonts w:hAnsi="宋体" w:cs="Arial"/>
                <w:color w:val="000000"/>
                <w:sz w:val="24"/>
              </w:rPr>
            </w:pPr>
          </w:p>
        </w:tc>
        <w:tc>
          <w:tcPr>
            <w:tcW w:w="2001" w:type="dxa"/>
            <w:vAlign w:val="center"/>
          </w:tcPr>
          <w:p>
            <w:pPr>
              <w:pStyle w:val="8"/>
              <w:spacing w:after="0" w:line="560" w:lineRule="exact"/>
              <w:ind w:left="0" w:leftChars="0"/>
              <w:jc w:val="center"/>
              <w:rPr>
                <w:rFonts w:hAnsi="宋体" w:cs="Arial"/>
                <w:color w:val="000000"/>
                <w:sz w:val="24"/>
              </w:rPr>
            </w:pPr>
          </w:p>
        </w:tc>
        <w:tc>
          <w:tcPr>
            <w:tcW w:w="2652" w:type="dxa"/>
            <w:vAlign w:val="center"/>
          </w:tcPr>
          <w:p>
            <w:pPr>
              <w:pStyle w:val="8"/>
              <w:spacing w:after="0" w:line="560" w:lineRule="exact"/>
              <w:ind w:left="0" w:leftChars="0"/>
              <w:jc w:val="center"/>
              <w:rPr>
                <w:rFonts w:hAnsi="宋体" w:cs="Arial"/>
                <w:color w:val="000000"/>
                <w:sz w:val="24"/>
              </w:rPr>
            </w:pPr>
          </w:p>
        </w:tc>
        <w:tc>
          <w:tcPr>
            <w:tcW w:w="1399" w:type="dxa"/>
            <w:vAlign w:val="center"/>
          </w:tcPr>
          <w:p>
            <w:pPr>
              <w:pStyle w:val="8"/>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rPr>
                <w:rFonts w:hAnsi="宋体" w:cs="Arial"/>
                <w:color w:val="000000"/>
                <w:sz w:val="24"/>
              </w:rPr>
            </w:pPr>
          </w:p>
        </w:tc>
        <w:tc>
          <w:tcPr>
            <w:tcW w:w="2263" w:type="dxa"/>
            <w:vAlign w:val="center"/>
          </w:tcPr>
          <w:p>
            <w:pPr>
              <w:pStyle w:val="8"/>
              <w:spacing w:after="0" w:line="560" w:lineRule="exact"/>
              <w:ind w:left="0" w:leftChars="0"/>
              <w:rPr>
                <w:rFonts w:hAnsi="宋体" w:cs="Arial"/>
                <w:color w:val="000000"/>
                <w:sz w:val="24"/>
              </w:rPr>
            </w:pPr>
          </w:p>
        </w:tc>
        <w:tc>
          <w:tcPr>
            <w:tcW w:w="2001" w:type="dxa"/>
            <w:vAlign w:val="center"/>
          </w:tcPr>
          <w:p>
            <w:pPr>
              <w:pStyle w:val="8"/>
              <w:spacing w:after="0" w:line="560" w:lineRule="exact"/>
              <w:ind w:left="0" w:leftChars="0"/>
              <w:rPr>
                <w:rFonts w:hAnsi="宋体" w:cs="Arial"/>
                <w:color w:val="000000"/>
                <w:sz w:val="24"/>
              </w:rPr>
            </w:pPr>
          </w:p>
        </w:tc>
        <w:tc>
          <w:tcPr>
            <w:tcW w:w="2652" w:type="dxa"/>
            <w:vAlign w:val="center"/>
          </w:tcPr>
          <w:p>
            <w:pPr>
              <w:pStyle w:val="8"/>
              <w:spacing w:after="0" w:line="560" w:lineRule="exact"/>
              <w:ind w:left="0" w:leftChars="0"/>
              <w:rPr>
                <w:rFonts w:hAnsi="宋体" w:cs="Arial"/>
                <w:color w:val="000000"/>
                <w:sz w:val="24"/>
              </w:rPr>
            </w:pPr>
          </w:p>
        </w:tc>
        <w:tc>
          <w:tcPr>
            <w:tcW w:w="1399" w:type="dxa"/>
            <w:vAlign w:val="center"/>
          </w:tcPr>
          <w:p>
            <w:pPr>
              <w:pStyle w:val="8"/>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rPr>
                <w:rFonts w:hAnsi="宋体" w:cs="Arial"/>
                <w:color w:val="000000"/>
                <w:sz w:val="24"/>
              </w:rPr>
            </w:pPr>
          </w:p>
        </w:tc>
        <w:tc>
          <w:tcPr>
            <w:tcW w:w="2263" w:type="dxa"/>
            <w:vAlign w:val="center"/>
          </w:tcPr>
          <w:p>
            <w:pPr>
              <w:pStyle w:val="8"/>
              <w:spacing w:after="0" w:line="560" w:lineRule="exact"/>
              <w:ind w:left="0" w:leftChars="0"/>
              <w:rPr>
                <w:rFonts w:hAnsi="宋体" w:cs="Arial"/>
                <w:color w:val="000000"/>
                <w:sz w:val="24"/>
              </w:rPr>
            </w:pPr>
          </w:p>
        </w:tc>
        <w:tc>
          <w:tcPr>
            <w:tcW w:w="2001" w:type="dxa"/>
            <w:vAlign w:val="center"/>
          </w:tcPr>
          <w:p>
            <w:pPr>
              <w:pStyle w:val="8"/>
              <w:spacing w:after="0" w:line="560" w:lineRule="exact"/>
              <w:ind w:left="0" w:leftChars="0"/>
              <w:rPr>
                <w:rFonts w:hAnsi="宋体" w:cs="Arial"/>
                <w:color w:val="000000"/>
                <w:sz w:val="24"/>
              </w:rPr>
            </w:pPr>
          </w:p>
        </w:tc>
        <w:tc>
          <w:tcPr>
            <w:tcW w:w="2652" w:type="dxa"/>
            <w:vAlign w:val="center"/>
          </w:tcPr>
          <w:p>
            <w:pPr>
              <w:pStyle w:val="8"/>
              <w:spacing w:after="0" w:line="560" w:lineRule="exact"/>
              <w:ind w:left="0" w:leftChars="0"/>
              <w:rPr>
                <w:rFonts w:hAnsi="宋体" w:cs="Arial"/>
                <w:color w:val="000000"/>
                <w:sz w:val="24"/>
              </w:rPr>
            </w:pPr>
          </w:p>
        </w:tc>
        <w:tc>
          <w:tcPr>
            <w:tcW w:w="1399" w:type="dxa"/>
            <w:vAlign w:val="center"/>
          </w:tcPr>
          <w:p>
            <w:pPr>
              <w:pStyle w:val="8"/>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8"/>
              <w:spacing w:after="0" w:line="560" w:lineRule="exact"/>
              <w:ind w:left="0" w:leftChars="0"/>
              <w:rPr>
                <w:rFonts w:hAnsi="宋体" w:cs="Arial"/>
                <w:color w:val="000000"/>
                <w:sz w:val="24"/>
              </w:rPr>
            </w:pPr>
          </w:p>
        </w:tc>
        <w:tc>
          <w:tcPr>
            <w:tcW w:w="2263" w:type="dxa"/>
            <w:vAlign w:val="center"/>
          </w:tcPr>
          <w:p>
            <w:pPr>
              <w:pStyle w:val="8"/>
              <w:spacing w:after="0" w:line="560" w:lineRule="exact"/>
              <w:ind w:left="0" w:leftChars="0"/>
              <w:rPr>
                <w:rFonts w:hAnsi="宋体" w:cs="Arial"/>
                <w:color w:val="000000"/>
                <w:sz w:val="24"/>
              </w:rPr>
            </w:pPr>
          </w:p>
        </w:tc>
        <w:tc>
          <w:tcPr>
            <w:tcW w:w="2001" w:type="dxa"/>
            <w:vAlign w:val="center"/>
          </w:tcPr>
          <w:p>
            <w:pPr>
              <w:pStyle w:val="8"/>
              <w:spacing w:after="0" w:line="560" w:lineRule="exact"/>
              <w:ind w:left="0" w:leftChars="0"/>
              <w:rPr>
                <w:rFonts w:hAnsi="宋体" w:cs="Arial"/>
                <w:color w:val="000000"/>
                <w:sz w:val="24"/>
              </w:rPr>
            </w:pPr>
          </w:p>
        </w:tc>
        <w:tc>
          <w:tcPr>
            <w:tcW w:w="2652" w:type="dxa"/>
            <w:vAlign w:val="center"/>
          </w:tcPr>
          <w:p>
            <w:pPr>
              <w:pStyle w:val="8"/>
              <w:spacing w:after="0" w:line="560" w:lineRule="exact"/>
              <w:ind w:left="0" w:leftChars="0"/>
              <w:rPr>
                <w:rFonts w:hAnsi="宋体" w:cs="Arial"/>
                <w:color w:val="000000"/>
                <w:sz w:val="24"/>
              </w:rPr>
            </w:pPr>
          </w:p>
        </w:tc>
        <w:tc>
          <w:tcPr>
            <w:tcW w:w="1399" w:type="dxa"/>
            <w:vAlign w:val="center"/>
          </w:tcPr>
          <w:p>
            <w:pPr>
              <w:pStyle w:val="8"/>
              <w:spacing w:after="0" w:line="560" w:lineRule="exact"/>
              <w:ind w:left="0" w:leftChars="0"/>
              <w:rPr>
                <w:rFonts w:hAnsi="宋体" w:cs="Arial"/>
                <w:color w:val="000000"/>
                <w:sz w:val="24"/>
              </w:rPr>
            </w:pPr>
          </w:p>
        </w:tc>
      </w:tr>
    </w:tbl>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注：无论供应商递交的响应文件与采购文件商务条款的要求是否有偏离，均应逐条列在商务偏离表中。</w:t>
      </w:r>
    </w:p>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供应商名称（盖章）：XXXXXXX有限公司</w:t>
      </w:r>
    </w:p>
    <w:p>
      <w:pPr>
        <w:pStyle w:val="8"/>
        <w:spacing w:after="0" w:line="560" w:lineRule="exact"/>
        <w:ind w:left="0" w:leftChars="0"/>
        <w:rPr>
          <w:rFonts w:hAnsi="宋体" w:cs="Arial"/>
          <w:color w:val="000000"/>
          <w:sz w:val="24"/>
        </w:rPr>
      </w:pPr>
      <w:r>
        <w:rPr>
          <w:rFonts w:hint="eastAsia" w:hAnsi="宋体" w:cs="Arial"/>
          <w:color w:val="000000"/>
          <w:sz w:val="24"/>
        </w:rPr>
        <w:t>法定代表人或授权代表（签字）：</w:t>
      </w:r>
    </w:p>
    <w:p>
      <w:pPr>
        <w:pStyle w:val="8"/>
        <w:spacing w:after="0" w:line="560" w:lineRule="exact"/>
        <w:ind w:left="0" w:leftChars="0"/>
        <w:rPr>
          <w:rFonts w:hAnsi="宋体" w:cs="Arial"/>
          <w:color w:val="000000"/>
          <w:sz w:val="24"/>
        </w:rPr>
      </w:pPr>
      <w:r>
        <w:rPr>
          <w:rFonts w:hint="eastAsia" w:hAnsi="宋体" w:cs="Arial"/>
          <w:color w:val="000000"/>
          <w:sz w:val="24"/>
        </w:rPr>
        <w:t>日期：</w:t>
      </w:r>
    </w:p>
    <w:p>
      <w:pPr>
        <w:pStyle w:val="9"/>
        <w:rPr>
          <w:rFonts w:hAnsi="宋体" w:cs="Arial"/>
          <w:color w:val="000000"/>
          <w:sz w:val="24"/>
        </w:rPr>
      </w:pPr>
    </w:p>
    <w:p>
      <w:pPr>
        <w:pStyle w:val="9"/>
        <w:rPr>
          <w:rFonts w:hAnsi="宋体" w:cs="Arial"/>
          <w:color w:val="000000"/>
          <w:sz w:val="24"/>
        </w:rPr>
      </w:pPr>
    </w:p>
    <w:p>
      <w:pPr>
        <w:pStyle w:val="9"/>
        <w:rPr>
          <w:rFonts w:hAnsi="宋体" w:cs="Arial"/>
          <w:color w:val="000000"/>
          <w:sz w:val="24"/>
        </w:rPr>
      </w:pPr>
    </w:p>
    <w:p>
      <w:pPr>
        <w:pStyle w:val="9"/>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或书面承诺：</w:t>
      </w:r>
    </w:p>
    <w:p>
      <w:pPr>
        <w:pStyle w:val="8"/>
        <w:spacing w:after="0" w:line="560" w:lineRule="exact"/>
        <w:ind w:left="0" w:leftChars="0"/>
        <w:rPr>
          <w:rFonts w:hAnsi="宋体" w:cs="Arial"/>
          <w:color w:val="000000"/>
          <w:sz w:val="24"/>
        </w:rPr>
      </w:pPr>
      <w:r>
        <w:rPr>
          <w:rFonts w:hint="eastAsia" w:hAnsi="宋体" w:cs="Arial"/>
          <w:color w:val="000000"/>
          <w:sz w:val="24"/>
        </w:rPr>
        <w:t>承诺内容可自拟，但必须明确满足采购文件商务要求，如有优于商务要求的分项，须明确提出。</w:t>
      </w:r>
    </w:p>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bookmarkStart w:id="158" w:name="_Toc406671167"/>
      <w:bookmarkStart w:id="159" w:name="_Toc406670796"/>
      <w:bookmarkStart w:id="160" w:name="_Toc406671731"/>
      <w:bookmarkStart w:id="161" w:name="_Toc406672429"/>
      <w:r>
        <w:rPr>
          <w:rFonts w:hint="eastAsia" w:hAnsi="宋体" w:cs="Arial"/>
          <w:color w:val="000000"/>
          <w:sz w:val="24"/>
        </w:rPr>
        <w:t>2．企业实力（如有，可提交如下资料，不限于此）</w:t>
      </w:r>
    </w:p>
    <w:p>
      <w:pPr>
        <w:pStyle w:val="8"/>
        <w:spacing w:after="0" w:line="560" w:lineRule="exact"/>
        <w:ind w:left="0" w:leftChars="0"/>
        <w:rPr>
          <w:rFonts w:hAnsi="宋体" w:cs="Arial"/>
          <w:color w:val="000000"/>
          <w:sz w:val="24"/>
        </w:rPr>
      </w:pPr>
      <w:r>
        <w:rPr>
          <w:rFonts w:hint="eastAsia" w:hAnsi="宋体" w:cs="Arial"/>
          <w:color w:val="000000"/>
          <w:sz w:val="24"/>
        </w:rPr>
        <w:t>（1）****</w:t>
      </w:r>
    </w:p>
    <w:p>
      <w:pPr>
        <w:pStyle w:val="8"/>
        <w:spacing w:after="0" w:line="560" w:lineRule="exact"/>
        <w:ind w:left="0" w:leftChars="0"/>
        <w:rPr>
          <w:rFonts w:hAnsi="宋体" w:cs="Arial"/>
          <w:color w:val="000000"/>
          <w:sz w:val="24"/>
        </w:rPr>
      </w:pPr>
      <w:r>
        <w:rPr>
          <w:rFonts w:hint="eastAsia" w:hAnsi="宋体" w:cs="Arial"/>
          <w:color w:val="000000"/>
          <w:sz w:val="24"/>
        </w:rPr>
        <w:t>（2）****</w:t>
      </w:r>
    </w:p>
    <w:p>
      <w:pPr>
        <w:pStyle w:val="8"/>
        <w:spacing w:after="0" w:line="560" w:lineRule="exact"/>
        <w:ind w:left="0" w:leftChars="0"/>
        <w:rPr>
          <w:rFonts w:hAnsi="宋体" w:cs="Arial"/>
          <w:color w:val="000000"/>
          <w:sz w:val="24"/>
        </w:rPr>
      </w:pPr>
      <w:r>
        <w:rPr>
          <w:rFonts w:hint="eastAsia" w:hAnsi="宋体" w:cs="Arial"/>
          <w:color w:val="000000"/>
          <w:sz w:val="24"/>
        </w:rPr>
        <w:t>（3）****</w:t>
      </w:r>
    </w:p>
    <w:p>
      <w:pPr>
        <w:pStyle w:val="8"/>
        <w:spacing w:after="0" w:line="560" w:lineRule="exact"/>
        <w:ind w:left="0" w:leftChars="0"/>
        <w:rPr>
          <w:rFonts w:hAnsi="宋体" w:cs="Arial"/>
          <w:color w:val="000000"/>
          <w:sz w:val="24"/>
        </w:rPr>
      </w:pPr>
      <w:r>
        <w:rPr>
          <w:rFonts w:hint="eastAsia" w:hAnsi="宋体" w:cs="Arial"/>
          <w:color w:val="000000"/>
          <w:sz w:val="24"/>
        </w:rPr>
        <w:t>（4）供应商认为可提交的其他资料</w:t>
      </w:r>
    </w:p>
    <w:p>
      <w:pPr>
        <w:pStyle w:val="8"/>
        <w:spacing w:after="0" w:line="560" w:lineRule="exact"/>
        <w:ind w:left="0" w:leftChars="0"/>
        <w:rPr>
          <w:rFonts w:hAnsi="宋体" w:cs="Arial"/>
          <w:color w:val="000000"/>
          <w:sz w:val="24"/>
        </w:rPr>
      </w:pPr>
    </w:p>
    <w:p>
      <w:pPr>
        <w:pStyle w:val="8"/>
        <w:spacing w:after="0" w:line="560" w:lineRule="exact"/>
        <w:ind w:left="0" w:leftChars="0"/>
        <w:rPr>
          <w:rFonts w:hAnsi="宋体" w:cs="Arial"/>
          <w:color w:val="000000"/>
          <w:sz w:val="24"/>
        </w:rPr>
      </w:pPr>
      <w:r>
        <w:rPr>
          <w:rFonts w:hint="eastAsia" w:hAnsi="宋体" w:cs="Arial"/>
          <w:color w:val="000000"/>
          <w:sz w:val="24"/>
        </w:rPr>
        <w:t>3.承诺书</w:t>
      </w:r>
    </w:p>
    <w:p>
      <w:pPr>
        <w:pStyle w:val="8"/>
        <w:spacing w:after="0" w:line="560" w:lineRule="exact"/>
        <w:ind w:left="0" w:leftChars="0"/>
        <w:rPr>
          <w:rFonts w:hAnsi="宋体" w:cs="Arial"/>
          <w:color w:val="000000"/>
          <w:sz w:val="24"/>
        </w:rPr>
      </w:pPr>
    </w:p>
    <w:bookmarkEnd w:id="158"/>
    <w:bookmarkEnd w:id="159"/>
    <w:bookmarkEnd w:id="160"/>
    <w:bookmarkEnd w:id="161"/>
    <w:p>
      <w:pPr>
        <w:rPr>
          <w:rFonts w:hAnsi="宋体" w:cs="Arial"/>
          <w:color w:val="000000"/>
          <w:sz w:val="24"/>
        </w:rPr>
      </w:pPr>
      <w:r>
        <w:rPr>
          <w:rFonts w:hint="eastAsia" w:hAnsi="宋体" w:cs="Arial"/>
          <w:color w:val="000000"/>
          <w:sz w:val="24"/>
        </w:rPr>
        <w:br w:type="page"/>
      </w:r>
    </w:p>
    <w:p>
      <w:pPr>
        <w:ind w:firstLine="480" w:firstLineChars="200"/>
        <w:rPr>
          <w:rFonts w:hAnsi="宋体" w:cs="Arial"/>
          <w:color w:val="000000"/>
          <w:sz w:val="24"/>
        </w:rPr>
      </w:pPr>
    </w:p>
    <w:p>
      <w:pPr>
        <w:ind w:firstLine="132" w:firstLineChars="55"/>
        <w:jc w:val="center"/>
        <w:rPr>
          <w:rFonts w:hAnsi="宋体" w:cs="Arial"/>
          <w:color w:val="000000"/>
          <w:sz w:val="24"/>
        </w:rPr>
      </w:pPr>
      <w:r>
        <w:rPr>
          <w:rFonts w:hint="eastAsia" w:hAnsi="宋体" w:cs="Arial"/>
          <w:color w:val="000000"/>
          <w:sz w:val="24"/>
        </w:rPr>
        <w:t>供应商声明书</w:t>
      </w:r>
    </w:p>
    <w:p>
      <w:pPr>
        <w:spacing w:line="440" w:lineRule="exact"/>
        <w:rPr>
          <w:rFonts w:hAnsi="宋体" w:cs="Arial"/>
          <w:color w:val="000000"/>
          <w:sz w:val="24"/>
        </w:rPr>
      </w:pPr>
    </w:p>
    <w:p>
      <w:pPr>
        <w:spacing w:line="440" w:lineRule="exact"/>
        <w:rPr>
          <w:rFonts w:hAnsi="宋体" w:cs="Arial"/>
          <w:color w:val="000000"/>
          <w:sz w:val="24"/>
        </w:rPr>
      </w:pPr>
      <w:r>
        <w:rPr>
          <w:rFonts w:hint="eastAsia" w:hAnsi="宋体" w:cs="Arial"/>
          <w:color w:val="000000"/>
          <w:sz w:val="24"/>
        </w:rPr>
        <w:t>致：采购人</w:t>
      </w:r>
    </w:p>
    <w:p>
      <w:pPr>
        <w:spacing w:line="440" w:lineRule="exact"/>
        <w:ind w:firstLine="480" w:firstLineChars="200"/>
        <w:rPr>
          <w:rFonts w:hAnsi="宋体" w:cs="Arial"/>
          <w:color w:val="000000"/>
          <w:sz w:val="24"/>
        </w:rPr>
      </w:pPr>
      <w:r>
        <w:rPr>
          <w:rFonts w:hint="eastAsia" w:hAnsi="宋体" w:cs="Arial"/>
          <w:color w:val="000000"/>
          <w:sz w:val="24"/>
        </w:rPr>
        <w:t>为</w:t>
      </w:r>
      <w:r>
        <w:rPr>
          <w:rFonts w:hint="eastAsia" w:hAnsi="宋体" w:cs="Arial"/>
          <w:color w:val="000000"/>
          <w:sz w:val="24"/>
          <w:lang w:val="en-US" w:eastAsia="zh-CN"/>
        </w:rPr>
        <w:t>采购气相色谱—质谱仪</w:t>
      </w:r>
      <w:r>
        <w:rPr>
          <w:rFonts w:hint="eastAsia" w:hAnsi="宋体" w:cs="Arial"/>
          <w:color w:val="000000"/>
          <w:sz w:val="24"/>
        </w:rPr>
        <w:t>项目竞争性磋商，我方承诺：对从竞争性磋商活动中获得的采购人相关资料承担保密责任。</w:t>
      </w:r>
    </w:p>
    <w:p>
      <w:pPr>
        <w:spacing w:line="440" w:lineRule="exact"/>
        <w:ind w:firstLine="480" w:firstLineChars="200"/>
        <w:rPr>
          <w:rFonts w:hAnsi="宋体" w:cs="Arial"/>
          <w:color w:val="000000"/>
          <w:sz w:val="24"/>
        </w:rPr>
      </w:pPr>
      <w:r>
        <w:rPr>
          <w:rFonts w:hint="eastAsia" w:hAnsi="宋体" w:cs="Arial"/>
          <w:color w:val="000000"/>
          <w:sz w:val="24"/>
        </w:rPr>
        <w:t>我方（供应商名称）提供“响应文件”中的咨询服务，提交所有文件和全部说明均是真实和正确的，并愿意依法承担因提供虚假文件所导致的一切不良后果。</w:t>
      </w:r>
    </w:p>
    <w:p>
      <w:pPr>
        <w:spacing w:line="440" w:lineRule="exact"/>
        <w:ind w:firstLine="480" w:firstLineChars="200"/>
        <w:rPr>
          <w:rFonts w:hAnsi="宋体" w:cs="Arial"/>
          <w:color w:val="000000"/>
          <w:sz w:val="24"/>
        </w:rPr>
      </w:pPr>
      <w:r>
        <w:rPr>
          <w:rFonts w:hint="eastAsia" w:hAnsi="宋体" w:cs="Arial"/>
          <w:color w:val="000000"/>
          <w:sz w:val="24"/>
        </w:rPr>
        <w:t>我公司认识到本次竞争性磋商行为是企业采购活动。已认真阅读竞争性磋商文件，并完全理解竞争性磋商文件的内容。</w:t>
      </w:r>
    </w:p>
    <w:p>
      <w:pPr>
        <w:spacing w:line="440" w:lineRule="exact"/>
        <w:ind w:firstLine="480" w:firstLineChars="200"/>
        <w:rPr>
          <w:rFonts w:hAnsi="宋体" w:cs="Arial"/>
          <w:color w:val="000000"/>
          <w:sz w:val="24"/>
        </w:rPr>
      </w:pPr>
    </w:p>
    <w:p>
      <w:pPr>
        <w:spacing w:line="440" w:lineRule="exact"/>
        <w:ind w:firstLine="4800" w:firstLineChars="2000"/>
        <w:rPr>
          <w:rFonts w:hAnsi="宋体" w:cs="Arial"/>
          <w:color w:val="000000"/>
          <w:sz w:val="24"/>
        </w:rPr>
      </w:pPr>
      <w:r>
        <w:rPr>
          <w:rFonts w:hint="eastAsia" w:hAnsi="宋体" w:cs="Arial"/>
          <w:color w:val="000000"/>
          <w:sz w:val="24"/>
        </w:rPr>
        <w:t>供应商（法人公章）：</w:t>
      </w:r>
    </w:p>
    <w:p>
      <w:pPr>
        <w:spacing w:line="440" w:lineRule="exact"/>
        <w:ind w:firstLine="4800" w:firstLineChars="2000"/>
        <w:rPr>
          <w:rFonts w:hAnsi="宋体" w:cs="Arial"/>
          <w:color w:val="000000"/>
          <w:sz w:val="24"/>
        </w:rPr>
      </w:pPr>
      <w:r>
        <w:rPr>
          <w:rFonts w:hint="eastAsia" w:hAnsi="宋体" w:cs="Arial"/>
          <w:color w:val="000000"/>
          <w:sz w:val="24"/>
        </w:rPr>
        <w:t>授权代表（签字或盖章）：</w:t>
      </w:r>
    </w:p>
    <w:p>
      <w:pPr>
        <w:spacing w:line="440" w:lineRule="exact"/>
        <w:rPr>
          <w:rFonts w:hAnsi="宋体" w:cs="Arial"/>
          <w:color w:val="000000"/>
          <w:sz w:val="24"/>
        </w:rPr>
      </w:pPr>
      <w:r>
        <w:rPr>
          <w:rFonts w:hint="eastAsia" w:hAnsi="宋体" w:cs="Arial"/>
          <w:color w:val="000000"/>
          <w:sz w:val="24"/>
        </w:rPr>
        <w:t xml:space="preserve">                                        日期：</w:t>
      </w:r>
    </w:p>
    <w:p>
      <w:pPr>
        <w:rPr>
          <w:rFonts w:hAnsi="宋体" w:cs="Arial"/>
          <w:color w:val="000000"/>
          <w:sz w:val="24"/>
        </w:rPr>
      </w:pPr>
    </w:p>
    <w:p>
      <w:pPr>
        <w:rPr>
          <w:rFonts w:hAnsi="宋体" w:cs="Arial"/>
          <w:color w:val="000000"/>
          <w:sz w:val="24"/>
        </w:rPr>
      </w:pPr>
    </w:p>
    <w:p>
      <w:pPr>
        <w:ind w:firstLine="480" w:firstLineChars="200"/>
        <w:rPr>
          <w:rFonts w:hAnsi="宋体" w:cs="Arial"/>
          <w:b/>
          <w:bCs/>
          <w:color w:val="000000"/>
          <w:sz w:val="24"/>
        </w:rPr>
      </w:pPr>
      <w:r>
        <w:rPr>
          <w:rFonts w:hint="eastAsia" w:hAnsi="宋体" w:cs="Arial"/>
          <w:b/>
          <w:bCs/>
          <w:color w:val="000000"/>
          <w:sz w:val="24"/>
        </w:rPr>
        <w:t>注：未提供此声明书的作无效标处理。</w:t>
      </w: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rPr>
          <w:rFonts w:hAnsi="宋体" w:cs="Arial"/>
          <w:color w:val="000000"/>
          <w:sz w:val="24"/>
        </w:rPr>
      </w:pPr>
    </w:p>
    <w:p>
      <w:pPr>
        <w:pStyle w:val="6"/>
        <w:ind w:firstLine="480"/>
        <w:rPr>
          <w:rFonts w:ascii="宋体" w:hAnsi="宋体" w:cs="Arial"/>
          <w:color w:val="000000"/>
          <w:sz w:val="24"/>
        </w:rPr>
      </w:pPr>
    </w:p>
    <w:p>
      <w:pPr>
        <w:rPr>
          <w:rFonts w:hAnsi="宋体" w:cs="Arial"/>
          <w:color w:val="000000"/>
          <w:sz w:val="24"/>
        </w:rPr>
      </w:pPr>
    </w:p>
    <w:p>
      <w:pPr>
        <w:pStyle w:val="6"/>
        <w:ind w:firstLine="480"/>
        <w:rPr>
          <w:rFonts w:ascii="宋体" w:hAnsi="宋体" w:cs="Arial"/>
          <w:color w:val="000000"/>
          <w:sz w:val="24"/>
        </w:rPr>
      </w:pPr>
    </w:p>
    <w:p>
      <w:pPr>
        <w:rPr>
          <w:rFonts w:hAnsi="宋体" w:cs="Arial"/>
          <w:color w:val="000000"/>
          <w:sz w:val="24"/>
        </w:rPr>
      </w:pPr>
    </w:p>
    <w:p>
      <w:pPr>
        <w:pStyle w:val="6"/>
        <w:ind w:firstLine="480"/>
        <w:rPr>
          <w:rFonts w:ascii="宋体" w:hAnsi="宋体" w:cs="Arial"/>
          <w:color w:val="000000"/>
          <w:sz w:val="24"/>
        </w:rPr>
      </w:pPr>
    </w:p>
    <w:p>
      <w:pPr>
        <w:rPr>
          <w:rFonts w:hAnsi="宋体" w:cs="Arial"/>
          <w:color w:val="000000"/>
          <w:sz w:val="24"/>
        </w:rPr>
      </w:pPr>
    </w:p>
    <w:p>
      <w:pPr>
        <w:pStyle w:val="6"/>
        <w:ind w:firstLine="480"/>
        <w:rPr>
          <w:rFonts w:ascii="宋体" w:hAnsi="宋体" w:cs="Arial"/>
          <w:color w:val="000000"/>
          <w:sz w:val="24"/>
        </w:rPr>
      </w:pPr>
    </w:p>
    <w:p>
      <w:pPr>
        <w:rPr>
          <w:rFonts w:hAnsi="宋体" w:cs="Arial"/>
          <w:color w:val="000000"/>
          <w:sz w:val="24"/>
        </w:rPr>
      </w:pPr>
    </w:p>
    <w:p>
      <w:pPr>
        <w:pStyle w:val="6"/>
        <w:ind w:firstLine="480"/>
        <w:rPr>
          <w:rFonts w:ascii="宋体" w:hAnsi="宋体" w:cs="Arial"/>
          <w:color w:val="000000"/>
          <w:sz w:val="24"/>
        </w:rPr>
      </w:pPr>
    </w:p>
    <w:p>
      <w:pPr>
        <w:rPr>
          <w:color w:val="000000"/>
        </w:rPr>
      </w:pPr>
    </w:p>
    <w:p>
      <w:pPr>
        <w:rPr>
          <w:rFonts w:hAnsi="宋体" w:cs="Arial"/>
          <w:color w:val="000000"/>
          <w:sz w:val="24"/>
        </w:rPr>
      </w:pPr>
    </w:p>
    <w:p>
      <w:pPr>
        <w:rPr>
          <w:rFonts w:hAnsi="宋体" w:cs="Arial"/>
          <w:color w:val="000000"/>
          <w:sz w:val="24"/>
        </w:rPr>
      </w:pPr>
    </w:p>
    <w:p>
      <w:pPr>
        <w:ind w:firstLine="480" w:firstLineChars="200"/>
        <w:jc w:val="center"/>
        <w:rPr>
          <w:rFonts w:hAnsi="宋体" w:cs="Arial"/>
          <w:color w:val="000000"/>
          <w:sz w:val="24"/>
        </w:rPr>
      </w:pPr>
    </w:p>
    <w:p>
      <w:pPr>
        <w:ind w:firstLine="480" w:firstLineChars="200"/>
        <w:jc w:val="center"/>
        <w:rPr>
          <w:rFonts w:hAnsi="宋体" w:cs="Arial"/>
          <w:color w:val="000000"/>
          <w:sz w:val="24"/>
        </w:rPr>
      </w:pPr>
    </w:p>
    <w:p>
      <w:pPr>
        <w:jc w:val="center"/>
        <w:rPr>
          <w:rFonts w:hAnsi="宋体" w:cs="Arial"/>
          <w:color w:val="000000"/>
          <w:sz w:val="24"/>
        </w:rPr>
      </w:pPr>
      <w:r>
        <w:rPr>
          <w:rFonts w:hint="eastAsia" w:hAnsi="宋体" w:cs="Arial"/>
          <w:color w:val="000000"/>
          <w:sz w:val="24"/>
        </w:rPr>
        <w:t>保密承诺函</w:t>
      </w:r>
    </w:p>
    <w:p>
      <w:pPr>
        <w:rPr>
          <w:rFonts w:hAnsi="宋体" w:cs="Arial"/>
          <w:color w:val="000000"/>
          <w:sz w:val="24"/>
        </w:rPr>
      </w:pPr>
      <w:r>
        <w:rPr>
          <w:rFonts w:hint="eastAsia" w:hAnsi="宋体" w:cs="Arial"/>
          <w:color w:val="000000"/>
          <w:sz w:val="24"/>
        </w:rPr>
        <w:t>致：</w:t>
      </w:r>
    </w:p>
    <w:p>
      <w:pPr>
        <w:spacing w:line="440" w:lineRule="exact"/>
        <w:ind w:firstLine="480" w:firstLineChars="200"/>
        <w:rPr>
          <w:rFonts w:hAnsi="宋体" w:cs="Arial"/>
          <w:color w:val="000000"/>
          <w:sz w:val="24"/>
        </w:rPr>
      </w:pPr>
      <w:r>
        <w:rPr>
          <w:rFonts w:hint="eastAsia" w:hAnsi="宋体" w:cs="Arial"/>
          <w:color w:val="000000"/>
          <w:sz w:val="24"/>
        </w:rPr>
        <w:t>本公司特承诺：</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（一）除法律法规的规定之外，承诺对</w:t>
      </w:r>
      <w:r>
        <w:rPr>
          <w:rFonts w:hint="eastAsia" w:hAnsi="宋体" w:cs="Arial"/>
          <w:color w:val="000000"/>
          <w:sz w:val="24"/>
          <w:lang w:val="en-US" w:eastAsia="zh-CN"/>
        </w:rPr>
        <w:t>采购气相色谱—质谱仪</w:t>
      </w:r>
      <w:r>
        <w:rPr>
          <w:rFonts w:hint="eastAsia" w:hAnsi="宋体" w:cs="Arial"/>
          <w:color w:val="000000"/>
          <w:sz w:val="24"/>
        </w:rPr>
        <w:t>项目竞争性磋商过程中获取和接触的客户资料保密；</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二）承诺对本次竞争性磋商活动中了解到的委托方及相关信息负有保密义务，除国家法律规定，以及为竞争性磋商之目的向需要知悉此等保密信息的其负责人或雇员和/或供应商关联机构的人员（“人员”）因既定目的而披露之外，未经委托方及资料拥有人的同意，不得将需要保密的资料及相关机密对外泄露；</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（三）在进行项目服务过程中，相关人员只有根据工作安排及工作的需要，才能接触到需要保密的资料，其他人员均不得接触；</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（四）对保密资料的借阅、复印、归还等均要符合业务约定书的约定或保密协议的约定；供应商在受本保密义务约束的前提下可保留保密信息之复印件以作为存档目的。</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（五）除法律法规、专业准则的规定以及有权机构的要求外，未经受托人书面同意及本公司负责人批准同意，任何人均不得调阅本项目的保密档案。</w:t>
      </w:r>
    </w:p>
    <w:p>
      <w:pPr>
        <w:ind w:firstLine="480" w:firstLineChars="200"/>
        <w:rPr>
          <w:rFonts w:hAnsi="宋体" w:cs="Arial"/>
          <w:color w:val="000000"/>
          <w:sz w:val="24"/>
        </w:rPr>
      </w:pPr>
    </w:p>
    <w:p>
      <w:pPr>
        <w:ind w:firstLine="480" w:firstLineChars="200"/>
        <w:rPr>
          <w:rFonts w:hAnsi="宋体" w:cs="Arial"/>
          <w:color w:val="000000"/>
          <w:sz w:val="24"/>
        </w:rPr>
      </w:pPr>
      <w:r>
        <w:rPr>
          <w:rFonts w:hint="eastAsia" w:hAnsi="宋体" w:cs="Arial"/>
          <w:color w:val="000000"/>
          <w:sz w:val="24"/>
        </w:rPr>
        <w:t>特此承诺</w:t>
      </w:r>
    </w:p>
    <w:p>
      <w:pPr>
        <w:spacing w:line="360" w:lineRule="auto"/>
        <w:ind w:right="300" w:firstLine="600" w:firstLineChars="250"/>
        <w:jc w:val="right"/>
        <w:rPr>
          <w:rFonts w:hAnsi="宋体" w:cs="Arial"/>
          <w:color w:val="000000"/>
          <w:sz w:val="24"/>
        </w:rPr>
      </w:pPr>
    </w:p>
    <w:p>
      <w:pPr>
        <w:spacing w:line="360" w:lineRule="auto"/>
        <w:ind w:right="300" w:firstLine="600" w:firstLineChars="250"/>
        <w:jc w:val="right"/>
        <w:rPr>
          <w:rFonts w:hAnsi="宋体" w:cs="Arial"/>
          <w:color w:val="000000"/>
          <w:sz w:val="24"/>
        </w:rPr>
      </w:pPr>
    </w:p>
    <w:p>
      <w:pPr>
        <w:spacing w:line="360" w:lineRule="auto"/>
        <w:ind w:right="300" w:firstLine="600" w:firstLineChars="250"/>
        <w:jc w:val="right"/>
        <w:rPr>
          <w:rFonts w:hAnsi="宋体" w:cs="Arial"/>
          <w:color w:val="000000"/>
          <w:sz w:val="24"/>
        </w:rPr>
      </w:pPr>
    </w:p>
    <w:p>
      <w:pPr>
        <w:spacing w:line="360" w:lineRule="auto"/>
        <w:ind w:firstLine="4800" w:firstLineChars="2000"/>
        <w:rPr>
          <w:rFonts w:hAnsi="宋体" w:cs="Arial"/>
          <w:color w:val="000000"/>
          <w:sz w:val="24"/>
        </w:rPr>
      </w:pPr>
      <w:r>
        <w:rPr>
          <w:rFonts w:hint="eastAsia" w:hAnsi="宋体" w:cs="Arial"/>
          <w:color w:val="000000"/>
          <w:sz w:val="24"/>
        </w:rPr>
        <w:t>供应商（法人公章）：</w:t>
      </w:r>
    </w:p>
    <w:p>
      <w:pPr>
        <w:spacing w:line="360" w:lineRule="auto"/>
        <w:ind w:firstLine="4800" w:firstLineChars="2000"/>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 xml:space="preserve">                                    日期：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jc w:val="center"/>
        <w:textAlignment w:val="baseline"/>
        <w:rPr>
          <w:rFonts w:hAnsi="宋体" w:cs="Arial"/>
          <w:color w:val="000000"/>
          <w:sz w:val="24"/>
        </w:rPr>
      </w:pPr>
      <w:r>
        <w:rPr>
          <w:rFonts w:hint="eastAsia" w:hAnsi="宋体" w:cs="Arial"/>
          <w:color w:val="000000"/>
          <w:sz w:val="24"/>
        </w:rPr>
        <w:br w:type="page"/>
      </w:r>
    </w:p>
    <w:p>
      <w:pPr>
        <w:autoSpaceDE w:val="0"/>
        <w:autoSpaceDN w:val="0"/>
        <w:adjustRightInd w:val="0"/>
        <w:snapToGrid w:val="0"/>
        <w:spacing w:line="360" w:lineRule="auto"/>
        <w:textAlignment w:val="baseline"/>
      </w:pPr>
      <w:r>
        <w:rPr>
          <w:rFonts w:hint="eastAsia" w:hAnsi="宋体" w:cs="Arial"/>
          <w:color w:val="000000"/>
          <w:sz w:val="24"/>
        </w:rPr>
        <w:t xml:space="preserve">   5.相关承诺</w:t>
      </w: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jc w:val="center"/>
        <w:textAlignment w:val="baseline"/>
        <w:outlineLvl w:val="0"/>
        <w:rPr>
          <w:rFonts w:hAnsi="宋体" w:cs="Arial"/>
          <w:color w:val="000000"/>
          <w:sz w:val="24"/>
        </w:rPr>
      </w:pPr>
      <w:bookmarkStart w:id="162" w:name="_Toc16470"/>
      <w:bookmarkStart w:id="163" w:name="_Toc30942"/>
      <w:r>
        <w:rPr>
          <w:rFonts w:hint="eastAsia" w:hAnsi="宋体" w:cs="Arial"/>
          <w:color w:val="000000"/>
          <w:sz w:val="24"/>
        </w:rPr>
        <w:t>供应商承诺书</w:t>
      </w:r>
      <w:bookmarkEnd w:id="162"/>
      <w:bookmarkEnd w:id="163"/>
    </w:p>
    <w:p>
      <w:pPr>
        <w:spacing w:line="440" w:lineRule="exact"/>
        <w:rPr>
          <w:rFonts w:hAnsi="宋体" w:cs="宋体"/>
          <w:color w:val="000000"/>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我方承诺：完全接受采购人最终选择供应商的权利。</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pStyle w:val="5"/>
        <w:ind w:left="680"/>
        <w:rPr>
          <w:rFonts w:hAnsi="宋体" w:cs="Arial"/>
          <w:color w:val="000000"/>
          <w:sz w:val="24"/>
        </w:rPr>
      </w:pPr>
    </w:p>
    <w:p>
      <w:pPr>
        <w:rPr>
          <w:rFonts w:hAnsi="宋体" w:cs="Arial"/>
          <w:color w:val="000000"/>
          <w:sz w:val="24"/>
        </w:rPr>
      </w:pPr>
    </w:p>
    <w:p>
      <w:pPr>
        <w:pStyle w:val="5"/>
        <w:ind w:left="0" w:leftChars="0"/>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注：</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1.竞争性磋商文件中要求提交的资料未列出相应格式的，须自拟格式。</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2.按竞争性磋商文件规定的内容要求，提供相应材料，材料模糊导致关键信息无法识别，导致评审文员会判定响应文件为无效标等后果，由供应商自行承担。</w:t>
      </w: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ind w:firstLine="4080" w:firstLineChars="1700"/>
        <w:textAlignment w:val="baseline"/>
        <w:rPr>
          <w:rFonts w:hAnsi="宋体" w:cs="Arial"/>
          <w:color w:val="000000"/>
          <w:sz w:val="24"/>
        </w:rPr>
      </w:pPr>
      <w:r>
        <w:rPr>
          <w:rFonts w:hint="eastAsia" w:hAnsi="宋体" w:cs="Arial"/>
          <w:color w:val="000000"/>
          <w:sz w:val="24"/>
        </w:rPr>
        <w:t>供应商承诺书</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我方承诺：完全响应本项目</w:t>
      </w:r>
      <w:r>
        <w:rPr>
          <w:rFonts w:hint="eastAsia" w:hAnsi="宋体" w:cs="宋体"/>
          <w:color w:val="000000"/>
          <w:sz w:val="24"/>
        </w:rPr>
        <w:t>采购内容及服务要求</w:t>
      </w:r>
      <w:r>
        <w:rPr>
          <w:rFonts w:hint="eastAsia" w:hAnsi="宋体" w:cs="Arial"/>
          <w:color w:val="000000"/>
          <w:sz w:val="24"/>
        </w:rPr>
        <w:t>。</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pPr>
        <w:autoSpaceDE w:val="0"/>
        <w:autoSpaceDN w:val="0"/>
        <w:adjustRightInd w:val="0"/>
        <w:snapToGrid w:val="0"/>
        <w:spacing w:line="360" w:lineRule="auto"/>
        <w:textAlignment w:val="baseline"/>
        <w:rPr>
          <w:rFonts w:hAnsi="宋体" w:cs="Arial"/>
          <w:color w:val="000000"/>
          <w:sz w:val="24"/>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c0M1Nw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Ufr6kPVXcAcWha2emd5TBOl8nZ1DJA2KR4F6lRBp+IGk5h61r+aOOp/&#10;7lPU45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e3NDNTcCAABxBAAADgAAAAAAAAAB&#10;ACAAAAA1AQAAZHJzL2Uyb0RvYy54bWxQSwUGAAAAAAYABgBZAQAA3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ql5uc8AAAAFAQAADwAAAAAAAAABACAAAAA4AAAAZHJzL2Rvd25yZXYu&#10;eG1sUEsBAhQAFAAAAAgAh07iQNsKQ4fuAQAA2AMAAA4AAAAAAAAAAQAgAAAANAEAAGRycy9lMm9E&#10;b2MueG1sUEsFBgAAAAAGAAYAWQEAAJ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pPr>
      <w:pStyle w:val="1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2D48A"/>
    <w:multiLevelType w:val="singleLevel"/>
    <w:tmpl w:val="8D72D48A"/>
    <w:lvl w:ilvl="0" w:tentative="0">
      <w:start w:val="5"/>
      <w:numFmt w:val="decimal"/>
      <w:suff w:val="space"/>
      <w:lvlText w:val="%1."/>
      <w:lvlJc w:val="left"/>
    </w:lvl>
  </w:abstractNum>
  <w:abstractNum w:abstractNumId="1">
    <w:nsid w:val="C5EEE14E"/>
    <w:multiLevelType w:val="singleLevel"/>
    <w:tmpl w:val="C5EEE14E"/>
    <w:lvl w:ilvl="0" w:tentative="0">
      <w:start w:val="1"/>
      <w:numFmt w:val="chineseCounting"/>
      <w:suff w:val="space"/>
      <w:lvlText w:val="第%1部分"/>
      <w:lvlJc w:val="left"/>
      <w:rPr>
        <w:rFonts w:hint="eastAsia"/>
      </w:rPr>
    </w:lvl>
  </w:abstractNum>
  <w:abstractNum w:abstractNumId="2">
    <w:nsid w:val="3FD869BE"/>
    <w:multiLevelType w:val="singleLevel"/>
    <w:tmpl w:val="3FD869BE"/>
    <w:lvl w:ilvl="0" w:tentative="0">
      <w:start w:val="3"/>
      <w:numFmt w:val="chineseCounting"/>
      <w:suff w:val="nothing"/>
      <w:lvlText w:val="%1、"/>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7CAE9971"/>
    <w:multiLevelType w:val="singleLevel"/>
    <w:tmpl w:val="7CAE9971"/>
    <w:lvl w:ilvl="0" w:tentative="0">
      <w:start w:val="4"/>
      <w:numFmt w:val="chineseCounting"/>
      <w:suff w:val="space"/>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E4ZGU3NzEzOWFjY2I3ZDlkMzJhZDdlZjEyYmUifQ=="/>
  </w:docVars>
  <w:rsids>
    <w:rsidRoot w:val="66DF27D4"/>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F3245"/>
    <w:rsid w:val="03AB2B15"/>
    <w:rsid w:val="03B57B98"/>
    <w:rsid w:val="04790FAC"/>
    <w:rsid w:val="049A7BD3"/>
    <w:rsid w:val="04C50D6B"/>
    <w:rsid w:val="04CB0962"/>
    <w:rsid w:val="050A5FE2"/>
    <w:rsid w:val="0529311C"/>
    <w:rsid w:val="052C26FF"/>
    <w:rsid w:val="05370E0C"/>
    <w:rsid w:val="05743D3C"/>
    <w:rsid w:val="059D3E1F"/>
    <w:rsid w:val="05D9472B"/>
    <w:rsid w:val="060043AE"/>
    <w:rsid w:val="065169B7"/>
    <w:rsid w:val="065A3ABE"/>
    <w:rsid w:val="070A277F"/>
    <w:rsid w:val="07161BAF"/>
    <w:rsid w:val="07181283"/>
    <w:rsid w:val="07217DB2"/>
    <w:rsid w:val="07920BBC"/>
    <w:rsid w:val="07990616"/>
    <w:rsid w:val="080F7775"/>
    <w:rsid w:val="08205B7D"/>
    <w:rsid w:val="08AA7F7C"/>
    <w:rsid w:val="08C01BD2"/>
    <w:rsid w:val="08DC4C5E"/>
    <w:rsid w:val="08E73603"/>
    <w:rsid w:val="09B62B39"/>
    <w:rsid w:val="09C528FF"/>
    <w:rsid w:val="09D122E9"/>
    <w:rsid w:val="09FE0C04"/>
    <w:rsid w:val="0A6B685A"/>
    <w:rsid w:val="0AB85257"/>
    <w:rsid w:val="0ABA2D0D"/>
    <w:rsid w:val="0ABB5659"/>
    <w:rsid w:val="0B0B6B77"/>
    <w:rsid w:val="0B483CC7"/>
    <w:rsid w:val="0C034595"/>
    <w:rsid w:val="0C337593"/>
    <w:rsid w:val="0C3B6140"/>
    <w:rsid w:val="0C7E7904"/>
    <w:rsid w:val="0C88165E"/>
    <w:rsid w:val="0CB37840"/>
    <w:rsid w:val="0CBE67F1"/>
    <w:rsid w:val="0D366907"/>
    <w:rsid w:val="0D420E31"/>
    <w:rsid w:val="0D483813"/>
    <w:rsid w:val="0D565A5D"/>
    <w:rsid w:val="0D6F5903"/>
    <w:rsid w:val="0DF742E8"/>
    <w:rsid w:val="0E447482"/>
    <w:rsid w:val="0E7A16CC"/>
    <w:rsid w:val="0EC817E1"/>
    <w:rsid w:val="0EE57CC7"/>
    <w:rsid w:val="0EF831AF"/>
    <w:rsid w:val="0F0E3AF3"/>
    <w:rsid w:val="0F4B1644"/>
    <w:rsid w:val="0F753717"/>
    <w:rsid w:val="0FA53138"/>
    <w:rsid w:val="0FAC4C5F"/>
    <w:rsid w:val="0FD03043"/>
    <w:rsid w:val="10354C54"/>
    <w:rsid w:val="10390BE8"/>
    <w:rsid w:val="10407AD6"/>
    <w:rsid w:val="105570A4"/>
    <w:rsid w:val="107514F4"/>
    <w:rsid w:val="10C422CA"/>
    <w:rsid w:val="10FC5772"/>
    <w:rsid w:val="11055ECB"/>
    <w:rsid w:val="110B7CE6"/>
    <w:rsid w:val="110E3E6E"/>
    <w:rsid w:val="114E2716"/>
    <w:rsid w:val="11C02D36"/>
    <w:rsid w:val="11FD465A"/>
    <w:rsid w:val="124F7013"/>
    <w:rsid w:val="125C0BBE"/>
    <w:rsid w:val="129B1D1F"/>
    <w:rsid w:val="12C5281F"/>
    <w:rsid w:val="12EA441C"/>
    <w:rsid w:val="12F708E7"/>
    <w:rsid w:val="130F79DE"/>
    <w:rsid w:val="1367781A"/>
    <w:rsid w:val="1376180B"/>
    <w:rsid w:val="13AB1C5C"/>
    <w:rsid w:val="13B54A2A"/>
    <w:rsid w:val="146047E7"/>
    <w:rsid w:val="14C67113"/>
    <w:rsid w:val="151839C2"/>
    <w:rsid w:val="151D2886"/>
    <w:rsid w:val="159125A5"/>
    <w:rsid w:val="159643E7"/>
    <w:rsid w:val="159A3ED7"/>
    <w:rsid w:val="15AE1730"/>
    <w:rsid w:val="15B34F99"/>
    <w:rsid w:val="15DD3DC4"/>
    <w:rsid w:val="16111CBF"/>
    <w:rsid w:val="16341C1A"/>
    <w:rsid w:val="16470ED0"/>
    <w:rsid w:val="167D39A8"/>
    <w:rsid w:val="169F71D0"/>
    <w:rsid w:val="16A3500D"/>
    <w:rsid w:val="171A4BA4"/>
    <w:rsid w:val="177249E0"/>
    <w:rsid w:val="17B217D1"/>
    <w:rsid w:val="17DA76E8"/>
    <w:rsid w:val="18452548"/>
    <w:rsid w:val="185A31B4"/>
    <w:rsid w:val="189A5F55"/>
    <w:rsid w:val="189F35B2"/>
    <w:rsid w:val="18BB66D9"/>
    <w:rsid w:val="18BD6589"/>
    <w:rsid w:val="18FC3C76"/>
    <w:rsid w:val="192F477C"/>
    <w:rsid w:val="19935971"/>
    <w:rsid w:val="19E74090"/>
    <w:rsid w:val="1A1F5E07"/>
    <w:rsid w:val="1A4A5A53"/>
    <w:rsid w:val="1A505FCC"/>
    <w:rsid w:val="1A5F124B"/>
    <w:rsid w:val="1A937147"/>
    <w:rsid w:val="1A98475D"/>
    <w:rsid w:val="1AB84DFF"/>
    <w:rsid w:val="1AD63EE6"/>
    <w:rsid w:val="1B040045"/>
    <w:rsid w:val="1B162E9B"/>
    <w:rsid w:val="1B2349D2"/>
    <w:rsid w:val="1B773521"/>
    <w:rsid w:val="1BBF1E18"/>
    <w:rsid w:val="1BD81B27"/>
    <w:rsid w:val="1C066195"/>
    <w:rsid w:val="1C13053F"/>
    <w:rsid w:val="1C1553FF"/>
    <w:rsid w:val="1C33473D"/>
    <w:rsid w:val="1C6074FD"/>
    <w:rsid w:val="1C6703E2"/>
    <w:rsid w:val="1C992CC8"/>
    <w:rsid w:val="1CDE0185"/>
    <w:rsid w:val="1CE617B0"/>
    <w:rsid w:val="1D743260"/>
    <w:rsid w:val="1DE657E0"/>
    <w:rsid w:val="1E14234D"/>
    <w:rsid w:val="1EAE09F3"/>
    <w:rsid w:val="1EB51D82"/>
    <w:rsid w:val="1EE17044"/>
    <w:rsid w:val="1EE33806"/>
    <w:rsid w:val="1F0F61D9"/>
    <w:rsid w:val="1F1F369F"/>
    <w:rsid w:val="1F204D21"/>
    <w:rsid w:val="1F2C1918"/>
    <w:rsid w:val="1F413615"/>
    <w:rsid w:val="1F5D7D23"/>
    <w:rsid w:val="1FC23E56"/>
    <w:rsid w:val="1FD2088D"/>
    <w:rsid w:val="1FD84CE3"/>
    <w:rsid w:val="1FE347B2"/>
    <w:rsid w:val="200E15B2"/>
    <w:rsid w:val="2027175D"/>
    <w:rsid w:val="20281085"/>
    <w:rsid w:val="203C3DDD"/>
    <w:rsid w:val="2099095F"/>
    <w:rsid w:val="209B0A84"/>
    <w:rsid w:val="20AE591A"/>
    <w:rsid w:val="21154D5A"/>
    <w:rsid w:val="2116462E"/>
    <w:rsid w:val="212C5BFF"/>
    <w:rsid w:val="21371DF7"/>
    <w:rsid w:val="213D0FEA"/>
    <w:rsid w:val="217D645B"/>
    <w:rsid w:val="21B803BA"/>
    <w:rsid w:val="22296ABB"/>
    <w:rsid w:val="22546355"/>
    <w:rsid w:val="22592594"/>
    <w:rsid w:val="2276434A"/>
    <w:rsid w:val="22996279"/>
    <w:rsid w:val="22E26B81"/>
    <w:rsid w:val="23160915"/>
    <w:rsid w:val="23627016"/>
    <w:rsid w:val="236F2839"/>
    <w:rsid w:val="23AB5501"/>
    <w:rsid w:val="23C6560E"/>
    <w:rsid w:val="23CD1C25"/>
    <w:rsid w:val="23D9206E"/>
    <w:rsid w:val="2404528B"/>
    <w:rsid w:val="24207C9D"/>
    <w:rsid w:val="24311F21"/>
    <w:rsid w:val="24442B3D"/>
    <w:rsid w:val="24AB327E"/>
    <w:rsid w:val="24AD52A9"/>
    <w:rsid w:val="24D10F97"/>
    <w:rsid w:val="255E2557"/>
    <w:rsid w:val="256C2A6E"/>
    <w:rsid w:val="256E67E6"/>
    <w:rsid w:val="25B12CDE"/>
    <w:rsid w:val="25D845A8"/>
    <w:rsid w:val="262C46DD"/>
    <w:rsid w:val="264D0AF2"/>
    <w:rsid w:val="26926686"/>
    <w:rsid w:val="26931945"/>
    <w:rsid w:val="26E34FB2"/>
    <w:rsid w:val="26E36C7D"/>
    <w:rsid w:val="274C6FFB"/>
    <w:rsid w:val="27955378"/>
    <w:rsid w:val="27EE434B"/>
    <w:rsid w:val="281A2C55"/>
    <w:rsid w:val="281D44F4"/>
    <w:rsid w:val="28BE0F03"/>
    <w:rsid w:val="293E4722"/>
    <w:rsid w:val="29702DE9"/>
    <w:rsid w:val="29A901D7"/>
    <w:rsid w:val="29E32440"/>
    <w:rsid w:val="2AEA4B61"/>
    <w:rsid w:val="2B1569E4"/>
    <w:rsid w:val="2B184107"/>
    <w:rsid w:val="2B5B15BB"/>
    <w:rsid w:val="2B5D2279"/>
    <w:rsid w:val="2BB13B85"/>
    <w:rsid w:val="2BD2389D"/>
    <w:rsid w:val="2BD96984"/>
    <w:rsid w:val="2BDE7D31"/>
    <w:rsid w:val="2C4A0AFA"/>
    <w:rsid w:val="2C7E172C"/>
    <w:rsid w:val="2D102879"/>
    <w:rsid w:val="2D224A7E"/>
    <w:rsid w:val="2DA90D03"/>
    <w:rsid w:val="2DD438A6"/>
    <w:rsid w:val="2E073C7C"/>
    <w:rsid w:val="2E6B420B"/>
    <w:rsid w:val="2EC75194"/>
    <w:rsid w:val="2F2148C9"/>
    <w:rsid w:val="2F5A3045"/>
    <w:rsid w:val="2F7C5FA4"/>
    <w:rsid w:val="2F866E22"/>
    <w:rsid w:val="2F9121F1"/>
    <w:rsid w:val="2FA379D4"/>
    <w:rsid w:val="2FDC7F12"/>
    <w:rsid w:val="2FEF27C9"/>
    <w:rsid w:val="302F1268"/>
    <w:rsid w:val="30525C9F"/>
    <w:rsid w:val="30601421"/>
    <w:rsid w:val="30B67293"/>
    <w:rsid w:val="30C84BB8"/>
    <w:rsid w:val="314A45AB"/>
    <w:rsid w:val="320A3D3B"/>
    <w:rsid w:val="32180206"/>
    <w:rsid w:val="321B3925"/>
    <w:rsid w:val="323E0363"/>
    <w:rsid w:val="324A4137"/>
    <w:rsid w:val="324E3C27"/>
    <w:rsid w:val="32614FAD"/>
    <w:rsid w:val="328C36F9"/>
    <w:rsid w:val="3296737C"/>
    <w:rsid w:val="32AB5B3C"/>
    <w:rsid w:val="32B617CD"/>
    <w:rsid w:val="32E542DA"/>
    <w:rsid w:val="32F86004"/>
    <w:rsid w:val="32FD564D"/>
    <w:rsid w:val="335F3C12"/>
    <w:rsid w:val="33DD23F6"/>
    <w:rsid w:val="33EA5BD2"/>
    <w:rsid w:val="343A234D"/>
    <w:rsid w:val="345B6AD0"/>
    <w:rsid w:val="346B00A7"/>
    <w:rsid w:val="346D7ABA"/>
    <w:rsid w:val="347D25A2"/>
    <w:rsid w:val="3491604D"/>
    <w:rsid w:val="34B10B6D"/>
    <w:rsid w:val="35447564"/>
    <w:rsid w:val="35BA7826"/>
    <w:rsid w:val="35D73F34"/>
    <w:rsid w:val="35FE5964"/>
    <w:rsid w:val="36116014"/>
    <w:rsid w:val="362F52B4"/>
    <w:rsid w:val="37476E97"/>
    <w:rsid w:val="374E6478"/>
    <w:rsid w:val="3825367C"/>
    <w:rsid w:val="38297455"/>
    <w:rsid w:val="389E6F8B"/>
    <w:rsid w:val="38B92017"/>
    <w:rsid w:val="38CF183A"/>
    <w:rsid w:val="38FD1F03"/>
    <w:rsid w:val="3929250D"/>
    <w:rsid w:val="3932123D"/>
    <w:rsid w:val="396513C2"/>
    <w:rsid w:val="39C017D0"/>
    <w:rsid w:val="3A414656"/>
    <w:rsid w:val="3AA54601"/>
    <w:rsid w:val="3AC37A8D"/>
    <w:rsid w:val="3AD00DF0"/>
    <w:rsid w:val="3AD925C9"/>
    <w:rsid w:val="3ADE6EC5"/>
    <w:rsid w:val="3AED2C07"/>
    <w:rsid w:val="3B091033"/>
    <w:rsid w:val="3B36794F"/>
    <w:rsid w:val="3BEF6D9B"/>
    <w:rsid w:val="3C340332"/>
    <w:rsid w:val="3C3C2D43"/>
    <w:rsid w:val="3C947C9C"/>
    <w:rsid w:val="3CE77491"/>
    <w:rsid w:val="3CF17FD1"/>
    <w:rsid w:val="3D182F2B"/>
    <w:rsid w:val="3D4225DB"/>
    <w:rsid w:val="3D566086"/>
    <w:rsid w:val="3DC6320C"/>
    <w:rsid w:val="3DDC6A27"/>
    <w:rsid w:val="3E157CEF"/>
    <w:rsid w:val="3E384444"/>
    <w:rsid w:val="3EA452C3"/>
    <w:rsid w:val="3F055FB6"/>
    <w:rsid w:val="3F0F0BE2"/>
    <w:rsid w:val="3F163D1F"/>
    <w:rsid w:val="3F277D00"/>
    <w:rsid w:val="3F473ED8"/>
    <w:rsid w:val="3F536D21"/>
    <w:rsid w:val="3F7241FA"/>
    <w:rsid w:val="3F971D25"/>
    <w:rsid w:val="3FDF2363"/>
    <w:rsid w:val="3FEE07F8"/>
    <w:rsid w:val="401E6EC4"/>
    <w:rsid w:val="40874763"/>
    <w:rsid w:val="4093314D"/>
    <w:rsid w:val="409749EB"/>
    <w:rsid w:val="40984D90"/>
    <w:rsid w:val="409E5D7F"/>
    <w:rsid w:val="40EC169F"/>
    <w:rsid w:val="412C5A7C"/>
    <w:rsid w:val="41A03B33"/>
    <w:rsid w:val="41A575DC"/>
    <w:rsid w:val="41BE218B"/>
    <w:rsid w:val="423D567A"/>
    <w:rsid w:val="4268464D"/>
    <w:rsid w:val="42750D5C"/>
    <w:rsid w:val="427826DC"/>
    <w:rsid w:val="42892A5A"/>
    <w:rsid w:val="428B67D2"/>
    <w:rsid w:val="42A117A9"/>
    <w:rsid w:val="42AE426E"/>
    <w:rsid w:val="42B503CD"/>
    <w:rsid w:val="42E36295"/>
    <w:rsid w:val="42ED123B"/>
    <w:rsid w:val="43095949"/>
    <w:rsid w:val="432D1637"/>
    <w:rsid w:val="4374071E"/>
    <w:rsid w:val="43B934E6"/>
    <w:rsid w:val="43E23BC9"/>
    <w:rsid w:val="43E4263E"/>
    <w:rsid w:val="44134083"/>
    <w:rsid w:val="442B6778"/>
    <w:rsid w:val="44336610"/>
    <w:rsid w:val="446077EA"/>
    <w:rsid w:val="44753296"/>
    <w:rsid w:val="447A08AC"/>
    <w:rsid w:val="448E25C8"/>
    <w:rsid w:val="44BB614A"/>
    <w:rsid w:val="44DC50C3"/>
    <w:rsid w:val="44EA3F9F"/>
    <w:rsid w:val="45731C13"/>
    <w:rsid w:val="457979A9"/>
    <w:rsid w:val="457D3ACC"/>
    <w:rsid w:val="458228BC"/>
    <w:rsid w:val="45A32084"/>
    <w:rsid w:val="45AC0F39"/>
    <w:rsid w:val="45C85D9B"/>
    <w:rsid w:val="45D354C5"/>
    <w:rsid w:val="45D40490"/>
    <w:rsid w:val="46484CBF"/>
    <w:rsid w:val="464E2871"/>
    <w:rsid w:val="46B1257F"/>
    <w:rsid w:val="46C6427C"/>
    <w:rsid w:val="47146AD4"/>
    <w:rsid w:val="471F40B7"/>
    <w:rsid w:val="476B4E24"/>
    <w:rsid w:val="479D4749"/>
    <w:rsid w:val="47A520E4"/>
    <w:rsid w:val="47AD71EA"/>
    <w:rsid w:val="47CB434D"/>
    <w:rsid w:val="47D930C5"/>
    <w:rsid w:val="47E50732"/>
    <w:rsid w:val="47F72214"/>
    <w:rsid w:val="48612DDE"/>
    <w:rsid w:val="48687777"/>
    <w:rsid w:val="48877A3B"/>
    <w:rsid w:val="48D061D7"/>
    <w:rsid w:val="49064848"/>
    <w:rsid w:val="49180F33"/>
    <w:rsid w:val="4922747B"/>
    <w:rsid w:val="4992463F"/>
    <w:rsid w:val="49E07403"/>
    <w:rsid w:val="49EF7646"/>
    <w:rsid w:val="49F27137"/>
    <w:rsid w:val="4A48591C"/>
    <w:rsid w:val="4A722025"/>
    <w:rsid w:val="4A9B420A"/>
    <w:rsid w:val="4AA5523D"/>
    <w:rsid w:val="4AB46493"/>
    <w:rsid w:val="4AD351BA"/>
    <w:rsid w:val="4B1B446B"/>
    <w:rsid w:val="4B8806DC"/>
    <w:rsid w:val="4B9021DC"/>
    <w:rsid w:val="4BBC43B1"/>
    <w:rsid w:val="4BD03C0B"/>
    <w:rsid w:val="4BE40D01"/>
    <w:rsid w:val="4BEA5524"/>
    <w:rsid w:val="4BF6257B"/>
    <w:rsid w:val="4BFD47A2"/>
    <w:rsid w:val="4C7B3413"/>
    <w:rsid w:val="4D157919"/>
    <w:rsid w:val="4D1A3EB5"/>
    <w:rsid w:val="4D4E0B28"/>
    <w:rsid w:val="4D550108"/>
    <w:rsid w:val="4D5A1EF6"/>
    <w:rsid w:val="4D6046FD"/>
    <w:rsid w:val="4DF71185"/>
    <w:rsid w:val="4E4C4F07"/>
    <w:rsid w:val="4E65437B"/>
    <w:rsid w:val="4E8D742E"/>
    <w:rsid w:val="4EAE64F2"/>
    <w:rsid w:val="4EB41E04"/>
    <w:rsid w:val="4EC512BE"/>
    <w:rsid w:val="4EC51DE6"/>
    <w:rsid w:val="4F082F58"/>
    <w:rsid w:val="4F251D5C"/>
    <w:rsid w:val="4F3809A0"/>
    <w:rsid w:val="4F6E3703"/>
    <w:rsid w:val="4F934F18"/>
    <w:rsid w:val="4F9751C9"/>
    <w:rsid w:val="50306C0B"/>
    <w:rsid w:val="50966A6E"/>
    <w:rsid w:val="509A2FFF"/>
    <w:rsid w:val="509C604E"/>
    <w:rsid w:val="51881F81"/>
    <w:rsid w:val="520E6AD8"/>
    <w:rsid w:val="522E67F8"/>
    <w:rsid w:val="527032EE"/>
    <w:rsid w:val="52966EEB"/>
    <w:rsid w:val="52E93DA2"/>
    <w:rsid w:val="52F1442F"/>
    <w:rsid w:val="53397B84"/>
    <w:rsid w:val="534D6DD8"/>
    <w:rsid w:val="53743848"/>
    <w:rsid w:val="539B25ED"/>
    <w:rsid w:val="540B7773"/>
    <w:rsid w:val="54BF230B"/>
    <w:rsid w:val="54D11034"/>
    <w:rsid w:val="54EA5293"/>
    <w:rsid w:val="54EB3100"/>
    <w:rsid w:val="54F10A4B"/>
    <w:rsid w:val="54FB77E7"/>
    <w:rsid w:val="55017A7A"/>
    <w:rsid w:val="556F3D31"/>
    <w:rsid w:val="55F81F79"/>
    <w:rsid w:val="5630526E"/>
    <w:rsid w:val="56354874"/>
    <w:rsid w:val="56D52929"/>
    <w:rsid w:val="571E5A0F"/>
    <w:rsid w:val="57527056"/>
    <w:rsid w:val="577B4CAC"/>
    <w:rsid w:val="57D52571"/>
    <w:rsid w:val="58030690"/>
    <w:rsid w:val="58405511"/>
    <w:rsid w:val="59036B47"/>
    <w:rsid w:val="59232E69"/>
    <w:rsid w:val="592F5DE1"/>
    <w:rsid w:val="59331570"/>
    <w:rsid w:val="597A4A53"/>
    <w:rsid w:val="5980650D"/>
    <w:rsid w:val="599267F2"/>
    <w:rsid w:val="59B61F2F"/>
    <w:rsid w:val="59F30596"/>
    <w:rsid w:val="59F67BEB"/>
    <w:rsid w:val="5A52645B"/>
    <w:rsid w:val="5A6C083F"/>
    <w:rsid w:val="5A847B2F"/>
    <w:rsid w:val="5AB95915"/>
    <w:rsid w:val="5B2C46EC"/>
    <w:rsid w:val="5B48210E"/>
    <w:rsid w:val="5BD4294F"/>
    <w:rsid w:val="5C074CC3"/>
    <w:rsid w:val="5C216F1A"/>
    <w:rsid w:val="5C3F5EF4"/>
    <w:rsid w:val="5C86208C"/>
    <w:rsid w:val="5C902F0B"/>
    <w:rsid w:val="5CA37228"/>
    <w:rsid w:val="5CE04A5F"/>
    <w:rsid w:val="5CF8460C"/>
    <w:rsid w:val="5D787D61"/>
    <w:rsid w:val="5D867E6A"/>
    <w:rsid w:val="5D997B9D"/>
    <w:rsid w:val="5E011052"/>
    <w:rsid w:val="5E443FAD"/>
    <w:rsid w:val="5E4920AA"/>
    <w:rsid w:val="5E7708C8"/>
    <w:rsid w:val="5ED6097D"/>
    <w:rsid w:val="5EDD1D0C"/>
    <w:rsid w:val="5EFD5F0A"/>
    <w:rsid w:val="5F090D52"/>
    <w:rsid w:val="5F17346F"/>
    <w:rsid w:val="5F4B3119"/>
    <w:rsid w:val="5F70111D"/>
    <w:rsid w:val="60073A6B"/>
    <w:rsid w:val="603C1244"/>
    <w:rsid w:val="60623074"/>
    <w:rsid w:val="607A089E"/>
    <w:rsid w:val="60825213"/>
    <w:rsid w:val="60883EF9"/>
    <w:rsid w:val="608A5EC3"/>
    <w:rsid w:val="60BB7E2A"/>
    <w:rsid w:val="610A7D38"/>
    <w:rsid w:val="6111693C"/>
    <w:rsid w:val="61161505"/>
    <w:rsid w:val="616C05B2"/>
    <w:rsid w:val="61AA7B2E"/>
    <w:rsid w:val="61E31032"/>
    <w:rsid w:val="62111D26"/>
    <w:rsid w:val="621D245F"/>
    <w:rsid w:val="62210161"/>
    <w:rsid w:val="62A3501A"/>
    <w:rsid w:val="630A64B0"/>
    <w:rsid w:val="63691BB5"/>
    <w:rsid w:val="63710EF6"/>
    <w:rsid w:val="63AD43A2"/>
    <w:rsid w:val="63BF5E84"/>
    <w:rsid w:val="63DE15A9"/>
    <w:rsid w:val="64350119"/>
    <w:rsid w:val="64721148"/>
    <w:rsid w:val="647B7FFD"/>
    <w:rsid w:val="64B0702C"/>
    <w:rsid w:val="64BB2C51"/>
    <w:rsid w:val="64FF75A9"/>
    <w:rsid w:val="650225FD"/>
    <w:rsid w:val="6525526E"/>
    <w:rsid w:val="652C7549"/>
    <w:rsid w:val="65654809"/>
    <w:rsid w:val="65737493"/>
    <w:rsid w:val="65771D5A"/>
    <w:rsid w:val="659B647C"/>
    <w:rsid w:val="65A7504F"/>
    <w:rsid w:val="65C47781"/>
    <w:rsid w:val="65D5076F"/>
    <w:rsid w:val="66583FA2"/>
    <w:rsid w:val="66960057"/>
    <w:rsid w:val="66C51A03"/>
    <w:rsid w:val="66DF27D4"/>
    <w:rsid w:val="672871E6"/>
    <w:rsid w:val="67F44D9B"/>
    <w:rsid w:val="68A459BC"/>
    <w:rsid w:val="692844CB"/>
    <w:rsid w:val="697A5EC9"/>
    <w:rsid w:val="699E42B6"/>
    <w:rsid w:val="6A613E3E"/>
    <w:rsid w:val="6A8102A9"/>
    <w:rsid w:val="6AD541DF"/>
    <w:rsid w:val="6B1765A5"/>
    <w:rsid w:val="6BB06D88"/>
    <w:rsid w:val="6BB61E81"/>
    <w:rsid w:val="6C0C5F81"/>
    <w:rsid w:val="6C125BAC"/>
    <w:rsid w:val="6C1D7BEB"/>
    <w:rsid w:val="6CCB06CC"/>
    <w:rsid w:val="6D1F1741"/>
    <w:rsid w:val="6D940C6A"/>
    <w:rsid w:val="6DE74955"/>
    <w:rsid w:val="6DEA7FA1"/>
    <w:rsid w:val="6DEB4FE7"/>
    <w:rsid w:val="6DF17581"/>
    <w:rsid w:val="6E032E11"/>
    <w:rsid w:val="6E340DD8"/>
    <w:rsid w:val="6E58381F"/>
    <w:rsid w:val="6E857E26"/>
    <w:rsid w:val="6E9F55F7"/>
    <w:rsid w:val="6ED41D48"/>
    <w:rsid w:val="6F265009"/>
    <w:rsid w:val="6F2B6AC3"/>
    <w:rsid w:val="6F467459"/>
    <w:rsid w:val="6F4D3531"/>
    <w:rsid w:val="6F4F630E"/>
    <w:rsid w:val="6F6D3DA5"/>
    <w:rsid w:val="6F926B42"/>
    <w:rsid w:val="6F976446"/>
    <w:rsid w:val="6F9E3748"/>
    <w:rsid w:val="6FC860C0"/>
    <w:rsid w:val="6FD023CC"/>
    <w:rsid w:val="6FEF5D43"/>
    <w:rsid w:val="70277A76"/>
    <w:rsid w:val="7029710B"/>
    <w:rsid w:val="704E0CBB"/>
    <w:rsid w:val="706F478E"/>
    <w:rsid w:val="70C8281B"/>
    <w:rsid w:val="70D431DC"/>
    <w:rsid w:val="70E616D1"/>
    <w:rsid w:val="70F03B20"/>
    <w:rsid w:val="7100686F"/>
    <w:rsid w:val="710E126A"/>
    <w:rsid w:val="713A2918"/>
    <w:rsid w:val="713C4FB8"/>
    <w:rsid w:val="71B55415"/>
    <w:rsid w:val="71DA4100"/>
    <w:rsid w:val="721970A7"/>
    <w:rsid w:val="723B3AFC"/>
    <w:rsid w:val="72A73597"/>
    <w:rsid w:val="72B56DCF"/>
    <w:rsid w:val="72B648F6"/>
    <w:rsid w:val="72C2480A"/>
    <w:rsid w:val="72DE539D"/>
    <w:rsid w:val="72E02EC0"/>
    <w:rsid w:val="72FE27CB"/>
    <w:rsid w:val="72FF3793"/>
    <w:rsid w:val="73107E04"/>
    <w:rsid w:val="73137F9A"/>
    <w:rsid w:val="734D3685"/>
    <w:rsid w:val="73E334C8"/>
    <w:rsid w:val="73EB179F"/>
    <w:rsid w:val="74AF33D5"/>
    <w:rsid w:val="74DB0DA6"/>
    <w:rsid w:val="74EF01CE"/>
    <w:rsid w:val="75175DCD"/>
    <w:rsid w:val="75273889"/>
    <w:rsid w:val="75300C44"/>
    <w:rsid w:val="754B74AA"/>
    <w:rsid w:val="7591256F"/>
    <w:rsid w:val="75A82C1C"/>
    <w:rsid w:val="75C40432"/>
    <w:rsid w:val="75E8126A"/>
    <w:rsid w:val="75EA6D90"/>
    <w:rsid w:val="75F37DD8"/>
    <w:rsid w:val="760466F8"/>
    <w:rsid w:val="76233B13"/>
    <w:rsid w:val="76236746"/>
    <w:rsid w:val="764206AB"/>
    <w:rsid w:val="765468FF"/>
    <w:rsid w:val="76D80EB3"/>
    <w:rsid w:val="771F2A69"/>
    <w:rsid w:val="77422BFC"/>
    <w:rsid w:val="77610F13"/>
    <w:rsid w:val="77BF7064"/>
    <w:rsid w:val="780C315C"/>
    <w:rsid w:val="78144598"/>
    <w:rsid w:val="784C01AF"/>
    <w:rsid w:val="784F5A3C"/>
    <w:rsid w:val="78B418D7"/>
    <w:rsid w:val="78C0202A"/>
    <w:rsid w:val="78D37FAF"/>
    <w:rsid w:val="78DB24B0"/>
    <w:rsid w:val="78E26A63"/>
    <w:rsid w:val="793F4F28"/>
    <w:rsid w:val="79A33E26"/>
    <w:rsid w:val="79AD6F71"/>
    <w:rsid w:val="79E526F3"/>
    <w:rsid w:val="79F80B8F"/>
    <w:rsid w:val="7A2F605F"/>
    <w:rsid w:val="7A6A7162"/>
    <w:rsid w:val="7AFE6DDD"/>
    <w:rsid w:val="7B332F87"/>
    <w:rsid w:val="7B424F78"/>
    <w:rsid w:val="7B5F3D7C"/>
    <w:rsid w:val="7C260B34"/>
    <w:rsid w:val="7C3945CD"/>
    <w:rsid w:val="7C6D071B"/>
    <w:rsid w:val="7C7D55A3"/>
    <w:rsid w:val="7C9712F4"/>
    <w:rsid w:val="7CA03D5E"/>
    <w:rsid w:val="7CD73DE6"/>
    <w:rsid w:val="7CDB17BD"/>
    <w:rsid w:val="7CEC56C5"/>
    <w:rsid w:val="7D1571E2"/>
    <w:rsid w:val="7D470F6C"/>
    <w:rsid w:val="7D52346D"/>
    <w:rsid w:val="7DE247F1"/>
    <w:rsid w:val="7E01736D"/>
    <w:rsid w:val="7E260B81"/>
    <w:rsid w:val="7E2A0833"/>
    <w:rsid w:val="7E4012AC"/>
    <w:rsid w:val="7EF043B2"/>
    <w:rsid w:val="7EF6CC4B"/>
    <w:rsid w:val="7EFE0EF7"/>
    <w:rsid w:val="7F076C05"/>
    <w:rsid w:val="7F0B2BCE"/>
    <w:rsid w:val="7FAC712B"/>
    <w:rsid w:val="7FC248DA"/>
    <w:rsid w:val="7FCF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jc w:val="center"/>
      <w:outlineLvl w:val="2"/>
    </w:pPr>
    <w:rPr>
      <w:rFonts w:eastAsia="黑体"/>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Body Text"/>
    <w:basedOn w:val="1"/>
    <w:qFormat/>
    <w:uiPriority w:val="99"/>
    <w:pPr>
      <w:spacing w:after="120"/>
    </w:pPr>
    <w:rPr>
      <w:rFonts w:ascii="Calibri" w:hAnsi="Calibri"/>
      <w:sz w:val="20"/>
    </w:rPr>
  </w:style>
  <w:style w:type="paragraph" w:styleId="8">
    <w:name w:val="Body Text Indent"/>
    <w:basedOn w:val="1"/>
    <w:next w:val="9"/>
    <w:qFormat/>
    <w:uiPriority w:val="0"/>
    <w:pPr>
      <w:spacing w:after="120"/>
      <w:ind w:left="420" w:leftChars="200"/>
    </w:pPr>
  </w:style>
  <w:style w:type="paragraph" w:styleId="9">
    <w:name w:val="Body Text Indent 2"/>
    <w:basedOn w:val="1"/>
    <w:qFormat/>
    <w:uiPriority w:val="99"/>
    <w:pPr>
      <w:ind w:firstLine="630"/>
    </w:pPr>
    <w:rPr>
      <w:rFonts w:ascii="Calibri" w:hAnsi="Calibri"/>
      <w:b/>
      <w:sz w:val="32"/>
    </w:rPr>
  </w:style>
  <w:style w:type="paragraph" w:styleId="10">
    <w:name w:val="toc 3"/>
    <w:basedOn w:val="1"/>
    <w:next w:val="1"/>
    <w:qFormat/>
    <w:uiPriority w:val="39"/>
    <w:pPr>
      <w:tabs>
        <w:tab w:val="right" w:leader="dot" w:pos="9061"/>
      </w:tabs>
      <w:spacing w:line="300" w:lineRule="exact"/>
      <w:ind w:left="442"/>
    </w:pPr>
    <w:rPr>
      <w:rFonts w:ascii="Calibri" w:hAnsi="Calibri"/>
    </w:rPr>
  </w:style>
  <w:style w:type="paragraph" w:styleId="11">
    <w:name w:val="Plain Text"/>
    <w:basedOn w:val="1"/>
    <w:qFormat/>
    <w:uiPriority w:val="99"/>
    <w:rPr>
      <w:rFonts w:hAnsi="Courier New"/>
      <w:sz w:val="20"/>
    </w:rPr>
  </w:style>
  <w:style w:type="paragraph" w:styleId="12">
    <w:name w:val="Balloon Text"/>
    <w:basedOn w:val="1"/>
    <w:link w:val="27"/>
    <w:qFormat/>
    <w:uiPriority w:val="0"/>
    <w:rPr>
      <w:sz w:val="18"/>
      <w:szCs w:val="18"/>
    </w:rPr>
  </w:style>
  <w:style w:type="paragraph" w:styleId="13">
    <w:name w:val="footer"/>
    <w:basedOn w:val="1"/>
    <w:next w:val="14"/>
    <w:qFormat/>
    <w:uiPriority w:val="0"/>
    <w:pPr>
      <w:tabs>
        <w:tab w:val="center" w:pos="4153"/>
        <w:tab w:val="right" w:pos="8306"/>
      </w:tabs>
      <w:snapToGrid w:val="0"/>
      <w:jc w:val="left"/>
    </w:pPr>
    <w:rPr>
      <w:sz w:val="18"/>
      <w:szCs w:val="18"/>
    </w:rPr>
  </w:style>
  <w:style w:type="paragraph" w:customStyle="1" w:styleId="14">
    <w:name w:val="彩色列表 - 强调文字颜色 11"/>
    <w:basedOn w:val="1"/>
    <w:next w:val="1"/>
    <w:qFormat/>
    <w:uiPriority w:val="0"/>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6">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7">
    <w:name w:val="Body Text Indent 3"/>
    <w:basedOn w:val="1"/>
    <w:qFormat/>
    <w:uiPriority w:val="0"/>
    <w:pPr>
      <w:spacing w:after="120"/>
      <w:ind w:left="420" w:leftChars="200"/>
    </w:pPr>
    <w:rPr>
      <w:rFonts w:ascii="Times New Roman"/>
      <w:kern w:val="2"/>
      <w:sz w:val="16"/>
      <w:szCs w:val="16"/>
    </w:rPr>
  </w:style>
  <w:style w:type="paragraph" w:styleId="18">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2"/>
    <w:basedOn w:val="8"/>
    <w:next w:val="7"/>
    <w:unhideWhenUsed/>
    <w:qFormat/>
    <w:uiPriority w:val="99"/>
    <w:pPr>
      <w:spacing w:after="0" w:line="500" w:lineRule="exact"/>
      <w:ind w:left="0" w:leftChars="0" w:firstLine="420"/>
    </w:pPr>
    <w:rPr>
      <w:rFonts w:ascii="Calibri"/>
      <w:sz w:val="3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rPr>
      <w:rFonts w:ascii="Calibri" w:hAnsi="Calibri" w:eastAsia="宋体" w:cs="Times New Roman"/>
    </w:rPr>
  </w:style>
  <w:style w:type="character" w:styleId="26">
    <w:name w:val="Hyperlink"/>
    <w:basedOn w:val="23"/>
    <w:qFormat/>
    <w:uiPriority w:val="0"/>
    <w:rPr>
      <w:color w:val="0000FF"/>
      <w:u w:val="single"/>
    </w:rPr>
  </w:style>
  <w:style w:type="character" w:customStyle="1" w:styleId="27">
    <w:name w:val="批注框文本 Char"/>
    <w:basedOn w:val="23"/>
    <w:link w:val="12"/>
    <w:qFormat/>
    <w:uiPriority w:val="0"/>
    <w:rPr>
      <w:rFonts w:ascii="宋体"/>
      <w:sz w:val="18"/>
      <w:szCs w:val="18"/>
    </w:rPr>
  </w:style>
  <w:style w:type="paragraph" w:customStyle="1" w:styleId="28">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9">
    <w:name w:val="书籍标题1"/>
    <w:qFormat/>
    <w:uiPriority w:val="33"/>
    <w:rPr>
      <w:rFonts w:eastAsia="仿宋_GB2312"/>
      <w:b/>
      <w:bCs/>
      <w:smallCaps/>
      <w:spacing w:val="5"/>
      <w:sz w:val="36"/>
    </w:rPr>
  </w:style>
  <w:style w:type="character" w:customStyle="1" w:styleId="30">
    <w:name w:val="NormalCharacter"/>
    <w:qFormat/>
    <w:uiPriority w:val="0"/>
    <w:rPr>
      <w:rFonts w:ascii="Times New Roman" w:hAnsi="Times New Roman" w:eastAsia="宋体"/>
    </w:rPr>
  </w:style>
  <w:style w:type="paragraph" w:styleId="3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13235</Words>
  <Characters>13853</Characters>
  <Lines>128</Lines>
  <Paragraphs>36</Paragraphs>
  <TotalTime>16</TotalTime>
  <ScaleCrop>false</ScaleCrop>
  <LinksUpToDate>false</LinksUpToDate>
  <CharactersWithSpaces>14324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2023-05-08T17:20:00Z</dcterms:created>
  <dc:creator>SUPER</dc:creator>
  <cp:lastModifiedBy>Jmy</cp:lastModifiedBy>
  <cp:lastPrinted>2025-04-14T10:39:00Z</cp:lastPrinted>
  <dcterms:modified xsi:type="dcterms:W3CDTF">2025-04-15T16:47:16Z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DA7B61900D034C55141DFE67E97DDEF6_43</vt:lpwstr>
  </property>
  <property fmtid="{D5CDD505-2E9C-101B-9397-08002B2CF9AE}" pid="4" name="KSOTemplateDocerSaveRecord">
    <vt:lpwstr>eyJoZGlkIjoiNjg4OTZkZDhkNDQ3ZGVlYjAyNTI4YzczZmE5M2QwMDAiLCJ1c2VySWQiOiIzMjE0OTAwOTAifQ==</vt:lpwstr>
  </property>
</Properties>
</file>