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71DD">
      <w:pPr>
        <w:keepLines w:val="0"/>
        <w:widowControl/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开阳县辣椒制品加工项目—袋中袋包装机与粉剂灌装线采购及安装询价文件</w:t>
      </w:r>
    </w:p>
    <w:p w14:paraId="0A442EAD">
      <w:pPr>
        <w:keepLines w:val="0"/>
        <w:widowControl/>
        <w:snapToGrid w:val="0"/>
        <w:spacing w:before="0" w:beforeAutospacing="0" w:after="0" w:afterAutospacing="0" w:line="600" w:lineRule="exact"/>
        <w:ind w:firstLine="720" w:firstLineChars="200"/>
        <w:jc w:val="center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 w14:paraId="301D4CE8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采购单位</w:t>
      </w:r>
    </w:p>
    <w:p w14:paraId="4E1247BE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贵阳市菜篮子集团有限公司开阳县分公司</w:t>
      </w:r>
    </w:p>
    <w:p w14:paraId="68EA8879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基本情况</w:t>
      </w:r>
    </w:p>
    <w:p w14:paraId="2245CAF6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（一）项目名称</w:t>
      </w:r>
    </w:p>
    <w:p w14:paraId="359F388B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开阳县辣椒制品加工项目—袋中袋包装机与粉剂灌装线设备采购及安装项目</w:t>
      </w:r>
    </w:p>
    <w:p w14:paraId="757305ED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（二）采购预算</w:t>
      </w:r>
    </w:p>
    <w:p w14:paraId="3A1724D2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最高投标限价285000元（含税、含运、含安装）。</w:t>
      </w:r>
    </w:p>
    <w:p w14:paraId="3A71131B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（三）采购方式</w:t>
      </w:r>
    </w:p>
    <w:p w14:paraId="78B78A88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询价采购。</w:t>
      </w:r>
    </w:p>
    <w:p w14:paraId="096D7F22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（四）付款方式</w:t>
      </w:r>
    </w:p>
    <w:p w14:paraId="0BC7C769">
      <w:pPr>
        <w:keepLines w:val="0"/>
        <w:widowControl w:val="0"/>
        <w:snapToGrid w:val="0"/>
        <w:spacing w:before="0" w:beforeAutospacing="0" w:after="0" w:afterAutospacing="0" w:line="600" w:lineRule="exact"/>
        <w:ind w:left="17" w:leftChars="8" w:firstLine="617" w:firstLineChars="193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签订合同后，支付30%预付款；</w:t>
      </w:r>
      <w:bookmarkStart w:id="0" w:name="OLE_LINK7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设备生产完毕支付至合同的75%发货；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完成设备安装、调试及验收完成后5个工作日内支付至合同价的95%；剩余5%作为质保金，待质保期完成后5个工作日内支付完毕（质保期一年，从全部安装验收完成之日起计算）。</w:t>
      </w:r>
    </w:p>
    <w:p w14:paraId="3E6C0223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default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（五）采购明细</w:t>
      </w:r>
    </w:p>
    <w:tbl>
      <w:tblPr>
        <w:tblStyle w:val="13"/>
        <w:tblW w:w="91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385"/>
        <w:gridCol w:w="3825"/>
        <w:gridCol w:w="1014"/>
        <w:gridCol w:w="996"/>
      </w:tblGrid>
      <w:tr w14:paraId="68D8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6C7A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394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设</w:t>
            </w:r>
            <w:bookmarkStart w:id="1" w:name="OLE_LINK2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备名称</w:t>
            </w:r>
            <w:bookmarkEnd w:id="1"/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9FB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7604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32F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数量</w:t>
            </w:r>
          </w:p>
        </w:tc>
      </w:tr>
      <w:tr w14:paraId="37CA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0486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71D2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袋中袋包装机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5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1、设备内容：提升机，</w:t>
            </w:r>
            <w:bookmarkStart w:id="2" w:name="OLE_LINK19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上袋、开袋、撑袋、下料、拉直、封口</w:t>
            </w:r>
            <w:bookmarkEnd w:id="2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设备等；</w:t>
            </w:r>
          </w:p>
          <w:p w14:paraId="3721F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2、包装速度：每分钟30-60包；</w:t>
            </w:r>
          </w:p>
          <w:p w14:paraId="5D0E21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3、包装规格，宽：80 - 260mm，长：100 - 350</w:t>
            </w:r>
            <w:bookmarkStart w:id="3" w:name="OLE_LINK5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mm</w:t>
            </w:r>
            <w:bookmarkEnd w:id="3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；</w:t>
            </w:r>
          </w:p>
          <w:p w14:paraId="7AC6C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4、材料：SUS304；</w:t>
            </w:r>
          </w:p>
          <w:p w14:paraId="32444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5、封口方式：两次封口；</w:t>
            </w:r>
          </w:p>
          <w:p w14:paraId="6F43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6、电源：三相  380V；</w:t>
            </w:r>
          </w:p>
          <w:p w14:paraId="537FC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7、能兼容三边封袋、四边封、铝箔袋、尼龙袋、纸袋、拉链袋、手提袋等材质。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91EB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E17F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</w:tr>
      <w:tr w14:paraId="2428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539D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B2F4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粉剂灌装线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8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bookmarkStart w:id="4" w:name="OLE_LINK6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设备内容：</w:t>
            </w:r>
            <w:bookmarkStart w:id="5" w:name="OLE_LINK1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原料提升机、自动理瓶、计重填充、铝箔</w:t>
            </w:r>
            <w:bookmarkStart w:id="6" w:name="OLE_LINK4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封口、对夹旋盖机(配套自动上盖机）、定点定位贴标机、激</w:t>
            </w:r>
            <w:bookmarkEnd w:id="6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光打码</w:t>
            </w:r>
            <w:bookmarkEnd w:id="5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；</w:t>
            </w:r>
          </w:p>
          <w:p w14:paraId="1510CF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包装速度为30—60瓶/分钟；</w:t>
            </w:r>
          </w:p>
          <w:p w14:paraId="08FF1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bookmarkStart w:id="7" w:name="OLE_LINK21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能兼容同直径不同高度（60mm-140mm）的圆形瓶型</w:t>
            </w:r>
            <w:bookmarkEnd w:id="7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；</w:t>
            </w:r>
          </w:p>
          <w:p w14:paraId="5CA33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4、材料：SUS304</w:t>
            </w:r>
            <w:bookmarkEnd w:id="4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574E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D153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04C41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备注：1.上表所列为基础配置，欢迎提供性能相当或更好的相关产品。</w:t>
      </w:r>
    </w:p>
    <w:p w14:paraId="27868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     2.提供的设备必须具有保修卡、</w:t>
      </w:r>
      <w:bookmarkStart w:id="8" w:name="OLE_LINK3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中文说明书以及产品特</w:t>
      </w:r>
      <w:bookmarkEnd w:id="8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约维修处(特殊情况除外)。</w:t>
      </w:r>
    </w:p>
    <w:p w14:paraId="0A24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720" w:firstLineChars="30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3.报价为包干价，包括但不限于运输费、人工、包装费、保险费以及安装、调试、及培训所需费用等伴随服务的费用，已包含在合同价中。</w:t>
      </w:r>
    </w:p>
    <w:p w14:paraId="343C0EF7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三、响应单位资质要求</w:t>
      </w:r>
    </w:p>
    <w:p w14:paraId="698C7B94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1.法人或者其他组织的营业执照等证明文件，自然人的身份证明;</w:t>
      </w:r>
    </w:p>
    <w:p w14:paraId="76E4A757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2.财务状况报告，依法缴纳税收和社会保障资金的相关材料;</w:t>
      </w:r>
    </w:p>
    <w:p w14:paraId="2E03EE02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3.具备履行服务所必需的专业技术能力的证明材料;</w:t>
      </w:r>
    </w:p>
    <w:p w14:paraId="2EB37A2C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4.参加采购活动前3年内在经营活动中没有重大违法记录（附天眼查，中国信用网等）;</w:t>
      </w:r>
    </w:p>
    <w:p w14:paraId="1DD2680C"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5.具备法律、行政法规规定的其他条件的证明材料。</w:t>
      </w:r>
    </w:p>
    <w:p w14:paraId="353170DB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1769B646">
      <w:pPr>
        <w:keepLines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64EC260B">
      <w:pPr>
        <w:keepLines w:val="0"/>
        <w:widowControl w:val="0"/>
        <w:snapToGrid/>
        <w:spacing w:before="0" w:beforeAutospacing="0" w:after="0" w:afterAutospacing="0" w:line="600" w:lineRule="exact"/>
        <w:jc w:val="righ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71057857">
      <w:pPr>
        <w:pStyle w:val="11"/>
        <w:widowControl/>
        <w:spacing w:beforeAutospacing="0" w:afterAutospacing="0" w:line="580" w:lineRule="exact"/>
        <w:ind w:firstLine="1920" w:firstLineChars="6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贵阳市菜篮子集团有限公司开阳县分公司</w:t>
      </w:r>
    </w:p>
    <w:p w14:paraId="06F918AF">
      <w:pPr>
        <w:pStyle w:val="11"/>
        <w:widowControl/>
        <w:spacing w:beforeAutospacing="0" w:afterAutospacing="0" w:line="580" w:lineRule="exact"/>
        <w:ind w:firstLine="3520" w:firstLineChars="11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2024年9月9</w:t>
      </w:r>
      <w:bookmarkStart w:id="9" w:name="_GoBack"/>
      <w:bookmarkEnd w:id="9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 w14:paraId="334D3D70">
      <w:pPr>
        <w:pStyle w:val="11"/>
        <w:widowControl/>
        <w:spacing w:beforeAutospacing="0" w:afterAutospacing="0" w:line="580" w:lineRule="exact"/>
        <w:ind w:firstLine="3960" w:firstLineChars="1100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7A6452F2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B27C354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49CB4E60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7308D00D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64F9A43E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34546235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44338A6D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1930FC03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114D05D9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1939E63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1A819CB0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74760B3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209D8E27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03BB8C51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 w14:paraId="5BDF9921">
      <w:pPr>
        <w:keepLines w:val="0"/>
        <w:widowControl w:val="0"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附件1：</w:t>
      </w:r>
    </w:p>
    <w:p w14:paraId="47DF8977">
      <w:pPr>
        <w:keepLines w:val="0"/>
        <w:widowControl w:val="0"/>
        <w:snapToGrid/>
        <w:spacing w:before="0" w:beforeAutospacing="0" w:after="0" w:afterAutospacing="0" w:line="600" w:lineRule="exact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开阳县辣椒制品加工项目—袋中袋包装机与粉剂灌装线设备采购及安装项目报价清单</w:t>
      </w:r>
    </w:p>
    <w:p w14:paraId="3F00C5C3">
      <w:pPr>
        <w:pStyle w:val="2"/>
        <w:snapToGrid/>
        <w:spacing w:before="0" w:beforeAutospacing="0" w:after="0" w:afterAutospacing="0" w:line="240" w:lineRule="auto"/>
        <w:ind w:left="420" w:leftChars="2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tbl>
      <w:tblPr>
        <w:tblStyle w:val="1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97"/>
        <w:gridCol w:w="3064"/>
        <w:gridCol w:w="786"/>
        <w:gridCol w:w="772"/>
        <w:gridCol w:w="1016"/>
        <w:gridCol w:w="772"/>
      </w:tblGrid>
      <w:tr w14:paraId="551D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2FA6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91E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设备名称</w:t>
            </w:r>
          </w:p>
        </w:tc>
        <w:tc>
          <w:tcPr>
            <w:tcW w:w="1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E3E8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111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EFBF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50A5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报价</w:t>
            </w:r>
          </w:p>
          <w:p w14:paraId="6AF3EEB0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(元）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0D0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768F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E2F6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AB4F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袋中袋包装机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1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1、设备内容：提升机，上袋、开袋、撑袋、下料、拉直、封口设备等；</w:t>
            </w:r>
          </w:p>
          <w:p w14:paraId="73EBB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2、包装速度：每分钟30-60包；</w:t>
            </w:r>
          </w:p>
          <w:p w14:paraId="4417B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3、包装规格，宽：80 - 260mm，长：100 - 350mm；</w:t>
            </w:r>
          </w:p>
          <w:p w14:paraId="5D2E3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4、材料：SUS304；</w:t>
            </w:r>
          </w:p>
          <w:p w14:paraId="1DDDBE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5、封口方式：两次封口；</w:t>
            </w:r>
          </w:p>
          <w:p w14:paraId="2A473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6、电源：三相  380V；</w:t>
            </w:r>
          </w:p>
          <w:p w14:paraId="4C3C1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7、能兼容三边封袋、四边封、铝箔袋、尼龙袋、纸袋、拉链袋、手提袋等材质。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5F8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B66D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BC44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72F9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 w14:paraId="62AB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98B9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FC16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粉剂灌装线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A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1、设备内容：原料提升机、自动理瓶、计重填充、铝箔封口、对夹旋盖机(配套自动上盖机）、定点定位贴标机、激光打码；</w:t>
            </w:r>
          </w:p>
          <w:p w14:paraId="1C14D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2、包装速度为30—60瓶/分钟；</w:t>
            </w:r>
          </w:p>
          <w:p w14:paraId="7836C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Chars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3、能兼容同直径不同高度（60mm-140mm）的圆形瓶型；</w:t>
            </w:r>
          </w:p>
          <w:p w14:paraId="2853F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firstLine="0" w:firstLineChars="0"/>
              <w:jc w:val="both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4、材料：SUS304。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092C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D98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52DF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B932">
            <w:pPr>
              <w:keepLines w:val="0"/>
              <w:widowControl w:val="0"/>
              <w:snapToGrid w:val="0"/>
              <w:spacing w:before="0" w:beforeAutospacing="0" w:after="0" w:afterAutospacing="0"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 w14:paraId="4C9E9231">
      <w:pPr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3976D-10A8-4D36-ACF3-334F571CE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0DCA222-DB78-46E6-8E22-F7DE79D7A5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5CBBD60-AA4D-4802-8D46-CBA6F684AB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345E4D4-005B-4E7D-995E-86615B29D2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E951DF0-2C84-437E-96B5-030500528E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F163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39E0C"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639E0C"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3DCF62"/>
    <w:multiLevelType w:val="singleLevel"/>
    <w:tmpl w:val="C63DCF6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2496579D"/>
    <w:rsid w:val="00B20942"/>
    <w:rsid w:val="03457CFC"/>
    <w:rsid w:val="04E70AA7"/>
    <w:rsid w:val="062A142B"/>
    <w:rsid w:val="0A6D7B38"/>
    <w:rsid w:val="0B15763D"/>
    <w:rsid w:val="0D110195"/>
    <w:rsid w:val="1109680C"/>
    <w:rsid w:val="14EB20D9"/>
    <w:rsid w:val="15313A0E"/>
    <w:rsid w:val="16375D8A"/>
    <w:rsid w:val="166F2064"/>
    <w:rsid w:val="1772317E"/>
    <w:rsid w:val="178F0FE4"/>
    <w:rsid w:val="1BDA15BC"/>
    <w:rsid w:val="1D2B7B0B"/>
    <w:rsid w:val="1D983E65"/>
    <w:rsid w:val="1F72557D"/>
    <w:rsid w:val="200E06F7"/>
    <w:rsid w:val="20735763"/>
    <w:rsid w:val="21D2518F"/>
    <w:rsid w:val="22605C74"/>
    <w:rsid w:val="2810674E"/>
    <w:rsid w:val="2922287F"/>
    <w:rsid w:val="2BAC0068"/>
    <w:rsid w:val="2C2A4AA2"/>
    <w:rsid w:val="301D7787"/>
    <w:rsid w:val="335D6FBE"/>
    <w:rsid w:val="341C738A"/>
    <w:rsid w:val="34480D13"/>
    <w:rsid w:val="34E56399"/>
    <w:rsid w:val="35E743FE"/>
    <w:rsid w:val="36C914D9"/>
    <w:rsid w:val="3851068C"/>
    <w:rsid w:val="39E96FD1"/>
    <w:rsid w:val="3E630F69"/>
    <w:rsid w:val="3F46538F"/>
    <w:rsid w:val="406E7B8B"/>
    <w:rsid w:val="40D06E36"/>
    <w:rsid w:val="43CF0332"/>
    <w:rsid w:val="4549101F"/>
    <w:rsid w:val="47961EA1"/>
    <w:rsid w:val="4CD27077"/>
    <w:rsid w:val="4DB210B7"/>
    <w:rsid w:val="4DE53523"/>
    <w:rsid w:val="4E342FDE"/>
    <w:rsid w:val="4E564138"/>
    <w:rsid w:val="4FEA6008"/>
    <w:rsid w:val="5221005C"/>
    <w:rsid w:val="53840791"/>
    <w:rsid w:val="542D23E1"/>
    <w:rsid w:val="582B282A"/>
    <w:rsid w:val="5A0F1071"/>
    <w:rsid w:val="5B386973"/>
    <w:rsid w:val="5B595215"/>
    <w:rsid w:val="5FA83300"/>
    <w:rsid w:val="60E750C3"/>
    <w:rsid w:val="626C652C"/>
    <w:rsid w:val="727633A0"/>
    <w:rsid w:val="7859644F"/>
    <w:rsid w:val="7F65392B"/>
    <w:rsid w:val="7FA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rFonts w:ascii="Calibri" w:hAnsi="Calibri" w:cs="Times New Roman"/>
      <w:kern w:val="2"/>
      <w:sz w:val="21"/>
    </w:rPr>
  </w:style>
  <w:style w:type="paragraph" w:styleId="4">
    <w:name w:val="Body Text"/>
    <w:basedOn w:val="1"/>
    <w:autoRedefine/>
    <w:unhideWhenUsed/>
    <w:qFormat/>
    <w:uiPriority w:val="99"/>
  </w:style>
  <w:style w:type="paragraph" w:styleId="5">
    <w:name w:val="Body Text Indent"/>
    <w:basedOn w:val="1"/>
    <w:next w:val="6"/>
    <w:autoRedefine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6">
    <w:name w:val="Body Text Indent 2"/>
    <w:basedOn w:val="1"/>
    <w:next w:val="7"/>
    <w:autoRedefine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7">
    <w:name w:val="Body Text Indent 3"/>
    <w:basedOn w:val="1"/>
    <w:autoRedefine/>
    <w:qFormat/>
    <w:uiPriority w:val="0"/>
    <w:pPr>
      <w:spacing w:after="120"/>
      <w:ind w:left="200" w:leftChars="200"/>
    </w:pPr>
    <w:rPr>
      <w:sz w:val="16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5"/>
    <w:next w:val="4"/>
    <w:autoRedefine/>
    <w:qFormat/>
    <w:uiPriority w:val="0"/>
    <w:pPr>
      <w:spacing w:after="120"/>
      <w:ind w:left="420" w:leftChars="200" w:firstLine="420"/>
    </w:pPr>
    <w:rPr>
      <w:rFonts w:ascii="宋体" w:eastAsia="宋体"/>
      <w:sz w:val="21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Table Paragraph"/>
    <w:basedOn w:val="1"/>
    <w:autoRedefine/>
    <w:qFormat/>
    <w:uiPriority w:val="1"/>
    <w:pPr>
      <w:jc w:val="left"/>
    </w:pPr>
    <w:rPr>
      <w:rFonts w:ascii="宋体" w:hAnsi="宋体" w:cs="宋体"/>
      <w:kern w:val="0"/>
      <w:sz w:val="22"/>
      <w:lang w:eastAsia="en-US"/>
    </w:rPr>
  </w:style>
  <w:style w:type="table" w:customStyle="1" w:styleId="19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1126</Words>
  <Characters>1227</Characters>
  <Lines>0</Lines>
  <Paragraphs>0</Paragraphs>
  <TotalTime>9</TotalTime>
  <ScaleCrop>false</ScaleCrop>
  <LinksUpToDate>false</LinksUpToDate>
  <CharactersWithSpaces>1245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2023-10-25T06:50:00Z</dcterms:created>
  <dc:creator>Stranger </dc:creator>
  <cp:lastModifiedBy>无无邪</cp:lastModifiedBy>
  <cp:lastPrinted>2023-12-21T07:47:00Z</cp:lastPrinted>
  <dcterms:modified xsi:type="dcterms:W3CDTF">2024-09-09T01:16:56Z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A9175E5613E44CB6B386B00FCFC2A53E_13</vt:lpwstr>
  </property>
</Properties>
</file>