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51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w:t>
      </w:r>
    </w:p>
    <w:p w14:paraId="413D95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bookmarkStart w:id="7" w:name="_GoBack"/>
      <w:r>
        <w:rPr>
          <w:rFonts w:hint="eastAsia" w:ascii="方正小标宋简体" w:hAnsi="方正小标宋简体" w:eastAsia="方正小标宋简体" w:cs="方正小标宋简体"/>
          <w:sz w:val="44"/>
          <w:szCs w:val="44"/>
          <w:lang w:val="en-US" w:eastAsia="zh-CN"/>
        </w:rPr>
        <w:t>贵阳市粮食储备管理有限公司贵安机房</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等保建设及网络升级项目</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拦标询价单</w:t>
      </w:r>
    </w:p>
    <w:bookmarkEnd w:id="7"/>
    <w:tbl>
      <w:tblPr>
        <w:tblStyle w:val="2"/>
        <w:tblW w:w="15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301"/>
        <w:gridCol w:w="10035"/>
        <w:gridCol w:w="805"/>
        <w:gridCol w:w="1272"/>
        <w:gridCol w:w="1293"/>
      </w:tblGrid>
      <w:tr w14:paraId="21AD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6088A654">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pPr>
            <w: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78CD4506">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sz w:val="20"/>
                <w:szCs w:val="20"/>
                <w:highlight w:val="none"/>
                <w:u w:val="none"/>
                <w:lang w:val="en-US" w:eastAsia="zh-CN"/>
              </w:rPr>
            </w:pPr>
            <w:r>
              <w:rPr>
                <w:rFonts w:hint="eastAsia" w:ascii="方正小标宋简体" w:hAnsi="方正小标宋简体" w:eastAsia="方正小标宋简体" w:cs="方正小标宋简体"/>
                <w:b/>
                <w:bCs/>
                <w:i w:val="0"/>
                <w:iCs w:val="0"/>
                <w:color w:val="auto"/>
                <w:sz w:val="20"/>
                <w:szCs w:val="20"/>
                <w:highlight w:val="none"/>
                <w:u w:val="none"/>
                <w:lang w:val="en-US" w:eastAsia="zh-CN"/>
              </w:rPr>
              <w:t>名称</w:t>
            </w:r>
          </w:p>
        </w:tc>
        <w:tc>
          <w:tcPr>
            <w:tcW w:w="10035"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68A7576D">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pPr>
            <w: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t>配置要求</w:t>
            </w:r>
          </w:p>
        </w:tc>
        <w:tc>
          <w:tcPr>
            <w:tcW w:w="805"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212FC522">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pPr>
            <w: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t>数量</w:t>
            </w:r>
          </w:p>
        </w:tc>
        <w:tc>
          <w:tcPr>
            <w:tcW w:w="1272"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7301A77D">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pPr>
            <w: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t>单价（含税）</w:t>
            </w:r>
          </w:p>
        </w:tc>
        <w:tc>
          <w:tcPr>
            <w:tcW w:w="1293" w:type="dxa"/>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5F82CC4C">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pPr>
            <w:r>
              <w:rPr>
                <w:rFonts w:hint="eastAsia" w:ascii="方正小标宋简体" w:hAnsi="方正小标宋简体" w:eastAsia="方正小标宋简体" w:cs="方正小标宋简体"/>
                <w:b/>
                <w:bCs/>
                <w:i w:val="0"/>
                <w:iCs w:val="0"/>
                <w:color w:val="auto"/>
                <w:kern w:val="0"/>
                <w:sz w:val="20"/>
                <w:szCs w:val="20"/>
                <w:highlight w:val="none"/>
                <w:u w:val="none"/>
                <w:lang w:val="en-US" w:eastAsia="zh-CN" w:bidi="ar"/>
              </w:rPr>
              <w:t>总价（含税）</w:t>
            </w:r>
          </w:p>
        </w:tc>
      </w:tr>
      <w:tr w14:paraId="0DA9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5326" w:type="dxa"/>
            <w:gridSpan w:val="6"/>
            <w:tcBorders>
              <w:top w:val="single" w:color="000000" w:sz="4" w:space="0"/>
              <w:left w:val="single" w:color="000000" w:sz="4" w:space="0"/>
              <w:bottom w:val="single" w:color="000000" w:sz="4" w:space="0"/>
              <w:right w:val="single" w:color="000000" w:sz="4" w:space="0"/>
            </w:tcBorders>
            <w:shd w:val="clear" w:color="auto" w:fill="FDD960" w:themeFill="accent3" w:themeFillTint="99"/>
            <w:vAlign w:val="center"/>
          </w:tcPr>
          <w:p w14:paraId="0CB8DA61">
            <w:pPr>
              <w:keepNext w:val="0"/>
              <w:keepLines w:val="0"/>
              <w:widowControl/>
              <w:suppressLineNumbers w:val="0"/>
              <w:jc w:val="left"/>
              <w:textAlignment w:val="center"/>
              <w:rPr>
                <w:rFonts w:hint="eastAsia" w:ascii="仿宋_GB2312" w:hAnsi="仿宋_GB2312" w:eastAsia="仿宋_GB2312" w:cs="仿宋_GB2312"/>
                <w:b/>
                <w:bCs/>
                <w:i w:val="0"/>
                <w:iCs w:val="0"/>
                <w:color w:val="auto"/>
                <w:kern w:val="0"/>
                <w:sz w:val="20"/>
                <w:szCs w:val="20"/>
                <w:highlight w:val="none"/>
                <w:u w:val="none"/>
                <w:lang w:val="en-US" w:eastAsia="zh-CN" w:bidi="ar"/>
              </w:rPr>
            </w:pPr>
            <w:r>
              <w:rPr>
                <w:rFonts w:hint="eastAsia" w:ascii="仿宋_GB2312" w:hAnsi="仿宋_GB2312" w:eastAsia="仿宋_GB2312" w:cs="仿宋_GB2312"/>
                <w:b/>
                <w:bCs/>
                <w:i w:val="0"/>
                <w:iCs w:val="0"/>
                <w:color w:val="auto"/>
                <w:kern w:val="0"/>
                <w:sz w:val="20"/>
                <w:szCs w:val="20"/>
                <w:highlight w:val="none"/>
                <w:u w:val="none"/>
                <w:lang w:val="en-US" w:eastAsia="zh-CN" w:bidi="ar"/>
              </w:rPr>
              <w:t>一、二级等保设备清单</w:t>
            </w:r>
          </w:p>
        </w:tc>
      </w:tr>
      <w:tr w14:paraId="13FE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C6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9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下一代防火墙</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71A8">
            <w:pPr>
              <w:keepNext w:val="0"/>
              <w:keepLines w:val="0"/>
              <w:widowControl/>
              <w:numPr>
                <w:ilvl w:val="0"/>
                <w:numId w:val="0"/>
              </w:numPr>
              <w:suppressLineNumbers w:val="0"/>
              <w:jc w:val="left"/>
              <w:textAlignment w:val="center"/>
              <w:rPr>
                <w:rFonts w:hint="eastAsia" w:ascii="仿宋_GB2312" w:hAnsi="仿宋_GB2312" w:eastAsia="仿宋_GB2312" w:cs="仿宋_GB2312"/>
                <w:b/>
                <w:bCs/>
                <w:color w:val="000000"/>
                <w:sz w:val="18"/>
                <w:szCs w:val="18"/>
                <w:lang w:val="en-US" w:eastAsia="zh-CN" w:bidi="ar"/>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r>
              <w:rPr>
                <w:rFonts w:hint="eastAsia" w:ascii="仿宋_GB2312" w:hAnsi="仿宋_GB2312" w:eastAsia="仿宋_GB2312" w:cs="仿宋_GB2312"/>
                <w:b/>
                <w:bCs/>
                <w:color w:val="000000"/>
                <w:sz w:val="18"/>
                <w:szCs w:val="18"/>
                <w:lang w:val="en-US" w:eastAsia="zh-CN" w:bidi="ar"/>
              </w:rPr>
              <w:t>：</w:t>
            </w:r>
          </w:p>
          <w:p w14:paraId="7BBD8390">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内存大小≥4G，硬盘容量≥128G SSD，电源≥单电源，千兆电口≥8个、千兆SFP光口≥2个 并配备相应光模块</w:t>
            </w:r>
          </w:p>
          <w:p w14:paraId="48F10AC9">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6ED29038">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网络层吞吐量≥4G，应用层吞吐量≥2G，IPS吞吐量≥600M，并发连接数≥200万，HTTP新建连接数≥6万。</w:t>
            </w:r>
          </w:p>
          <w:p w14:paraId="6ECA61BA">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51DEBB16">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bookmarkStart w:id="0" w:name="_Hlk56083575"/>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支持路由模式、透明模式、虚拟网线模式、旁路镜像模式等多种部署方式</w:t>
            </w:r>
            <w:bookmarkEnd w:id="0"/>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p>
          <w:p w14:paraId="612B2B58">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bookmarkStart w:id="1" w:name="_Hlk56088400"/>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支持链路聚合功能，可以将多个物理链路组合成一个性能更高的逻辑链路接口，提高链路带宽和链路可靠性</w:t>
            </w:r>
            <w:bookmarkEnd w:id="1"/>
            <w:bookmarkStart w:id="2" w:name="_Hlk56090033"/>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p>
          <w:p w14:paraId="3D8E284A">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支持路由类型、协议类型、网络对象、国家地区等条件进行自动选路的策略路由，支持不少于3种的调度算法，至少包括带宽比例、加权流量、线路优先等</w:t>
            </w:r>
            <w:bookmarkEnd w:id="2"/>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p>
          <w:p w14:paraId="0097955C">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bookmarkStart w:id="3" w:name="_Hlk56174746"/>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支持IPSec VPN智能选路功能，根据线路质量和应用实现自动链路切换</w:t>
            </w:r>
            <w:bookmarkEnd w:id="3"/>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（需提供产品功能截图证明并提供官方检测机构出具关于“SD-WAN智能选路”的证书或检测报告证明功能有效性。）；</w:t>
            </w:r>
          </w:p>
          <w:p w14:paraId="6FF18D96">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支持僵尸主机检测功能，产品内置僵尸网络特征库超过128万种，可识别主机的异常外联行为；</w:t>
            </w:r>
          </w:p>
          <w:p w14:paraId="0B25DBAA">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▲支持服务器漏洞防扫描功能，并对扫描源IP进行日志记录和联动封锁。（需提供产品功能截图证明和具备CMA/CNAS标识的第三方检测报告）；</w:t>
            </w:r>
          </w:p>
          <w:p w14:paraId="6A12AE7E">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bookmarkStart w:id="4" w:name="_Hlk57293701"/>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支持对压缩病毒文件进行检测和拦截，压缩层数支持15层及以上。</w:t>
            </w:r>
            <w:bookmarkEnd w:id="4"/>
          </w:p>
          <w:p w14:paraId="55719C24">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▲支持勒索病毒检测与防御功能，需提供产品功能截图证明。（需提供产品功能截图证明并提供官方检测机构出具关于“勒索病毒”的证书或检测报告证明功能有效性）。</w:t>
            </w:r>
          </w:p>
          <w:p w14:paraId="454DF1AE">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bookmarkStart w:id="5" w:name="_Hlk57297264"/>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内置不低于13000种漏洞规则，</w:t>
            </w:r>
            <w:bookmarkStart w:id="6" w:name="_Hlk57297665"/>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同时支持在控制台界面通过漏洞ID、漏洞名称、危险等级、漏洞CVE标识、漏洞描述等条件查询漏洞特征信息，支持用户自定义IPS规则</w:t>
            </w:r>
            <w:bookmarkEnd w:id="5"/>
            <w:bookmarkEnd w:id="6"/>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p>
          <w:p w14:paraId="4C06FA9C">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▲支持云威胁情报网关技术，通过全球超过30+pop节点，实现对威胁流量就近进行实时检测&amp;拦截，实现失陷外联实时阻断，保护资产安全。（需提供产品功能截图证明并提供POP节点在线查询链接）；</w:t>
            </w:r>
          </w:p>
          <w:p w14:paraId="2304D5DB">
            <w:pPr>
              <w:keepNext w:val="0"/>
              <w:keepLines w:val="0"/>
              <w:widowControl/>
              <w:numPr>
                <w:ilvl w:val="0"/>
                <w:numId w:val="1"/>
              </w:numPr>
              <w:suppressLineNumbers w:val="0"/>
              <w:jc w:val="left"/>
              <w:textAlignment w:val="center"/>
              <w:rPr>
                <w:rFonts w:hint="eastAsia" w:ascii="仿宋_GB2312" w:hAnsi="仿宋_GB2312" w:eastAsia="仿宋_GB2312" w:cs="仿宋_GB2312"/>
                <w:bCs/>
                <w:kern w:val="0"/>
                <w:sz w:val="18"/>
                <w:szCs w:val="18"/>
                <w:lang w:val="en-US" w:eastAsia="zh-CN"/>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提供3年硬件质保、软件升级、规则库升级服务；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D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C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F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2CA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E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FD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上网行为管理</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A6C">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303766A5">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内存大小≥4G，硬盘容量≥128G SSD，千兆电口≥6个</w:t>
            </w:r>
          </w:p>
          <w:p w14:paraId="6CD1FC82">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27D02C7B">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 xml:space="preserve">网络层吞吐量（大包）≥3.6Gb，应用层吞吐量≥450Mb，带宽性能≥300Mb，支持用户数≥800，包转发率≥45Kpps，每秒新建连接数≥4000，最大并发连接数≥150000。 </w:t>
            </w:r>
          </w:p>
          <w:p w14:paraId="6DF40118">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6E87BF6D">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color w:val="000000"/>
                <w:sz w:val="18"/>
                <w:szCs w:val="18"/>
                <w:lang w:eastAsia="zh-CN" w:bidi="ar"/>
              </w:rPr>
              <w:t>支持部署在IPv6环境中，设备接口及部署模式均支持ipv6配置，所有核心功能（上网认证、应用控制、流量控制、内容审计、日志报表等）都支持IPv6；</w:t>
            </w:r>
          </w:p>
          <w:p w14:paraId="0F245B47">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支持DNS代理，能够基于用户、域名、目标DNS，指定代理策略生效，代理策略可以设置为：重定向至DNS服务器、解析为IP、丢弃、重定向至指定线路；</w:t>
            </w:r>
          </w:p>
          <w:p w14:paraId="6B141E39">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▲支持通过抑制P2P的下行丢包，来减缓P2P的下行流量，从而解决网络出口在做流控后仍然压力较大的问题（需提供产品功能截图证明并加盖厂商公章）；</w:t>
            </w:r>
          </w:p>
          <w:p w14:paraId="490009A3">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可设置四类管理员，分别为系统管理员、安全管理员、审计管理员，以及多种权限的超级管理员；管理员支持分级，高级别管理员的策略配置优先生效，并可修改低级管理员的策略；</w:t>
            </w:r>
          </w:p>
          <w:p w14:paraId="16A400A3">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支持首页分析显示接入用户人数、终端类型；带宽质量分析、实时流量排名；资产类型分布、新设备发现趋势、终端违规检查项排行、终端违规用户排行；</w:t>
            </w:r>
          </w:p>
          <w:p w14:paraId="70D7AA93">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eastAsia="zh-CN" w:bidi="ar"/>
              </w:rPr>
            </w:pPr>
            <w:r>
              <w:rPr>
                <w:rFonts w:hint="eastAsia" w:ascii="仿宋_GB2312" w:hAnsi="仿宋_GB2312" w:eastAsia="仿宋_GB2312" w:cs="仿宋_GB2312"/>
                <w:color w:val="000000"/>
                <w:sz w:val="18"/>
                <w:szCs w:val="18"/>
                <w:lang w:val="en-US" w:eastAsia="zh-CN" w:bidi="ar"/>
              </w:rPr>
              <w:t>▲针对内网用户的web访问质量进行检测，对整体网络提供清晰的整体网络质量评级；</w:t>
            </w:r>
            <w:r>
              <w:rPr>
                <w:rFonts w:hint="eastAsia" w:ascii="仿宋_GB2312" w:hAnsi="仿宋_GB2312" w:eastAsia="仿宋_GB2312" w:cs="仿宋_GB2312"/>
                <w:color w:val="000000"/>
                <w:sz w:val="18"/>
                <w:szCs w:val="18"/>
                <w:lang w:eastAsia="zh-CN" w:bidi="ar"/>
              </w:rPr>
              <w:t>支持PPS异常、丢包异常、ARP异常、内网DOS攻击等异常情况实时监测，显示每日异常事件个数及情况；</w:t>
            </w: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（需提供产品功能截图证明并加盖厂商公章）</w:t>
            </w:r>
          </w:p>
          <w:p w14:paraId="3AC6222D">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eastAsia="zh-CN" w:bidi="ar"/>
              </w:rPr>
            </w:pPr>
            <w:r>
              <w:rPr>
                <w:rFonts w:hint="eastAsia" w:ascii="仿宋_GB2312" w:hAnsi="仿宋_GB2312" w:eastAsia="仿宋_GB2312" w:cs="仿宋_GB2312"/>
                <w:color w:val="000000"/>
                <w:sz w:val="18"/>
                <w:szCs w:val="18"/>
                <w:lang w:val="en-US" w:eastAsia="zh-CN" w:bidi="ar"/>
              </w:rPr>
              <w:t>支持从本地导入和扫描导入，支持以CSV格式文件导入帐户/分组/IP/MAC/描述/密码等信息；用户分组支持树形结构，支持父组、子组、组内套组等；</w:t>
            </w:r>
          </w:p>
          <w:p w14:paraId="4E33F102">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color w:val="000000"/>
                <w:sz w:val="18"/>
                <w:szCs w:val="18"/>
                <w:lang w:val="en-US" w:eastAsia="zh-CN" w:bidi="ar"/>
              </w:rPr>
              <w:t>支持针对特权用户配置免认证key、免审计key、免控制key</w:t>
            </w: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w:t>
            </w:r>
          </w:p>
          <w:p w14:paraId="640C28B5">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终端用户账号绑定手机号码和微信号，绑定后可以通过手机验证码和微信扫码实现上网快捷登录认证；支持提供二维码和会议号，用户扫码或输入会议号认证上网；支持通过验证手机号码实名认证（需提供产品功能截图证明并加盖厂商公章）；</w:t>
            </w:r>
          </w:p>
          <w:p w14:paraId="5C5844EC">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设备内置海量预分类的URL地址库，能够针对各种URL类型做识别和分类，同时所有URL类型都支持区分“网站浏览”、“文件上传”、“其他上传”、“HTTPS”等细分行为并分别做权限控制；</w:t>
            </w:r>
          </w:p>
          <w:p w14:paraId="13AE18BC">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设备内置应用识别规则库，支持超过9000条应用规则数、支持超过6000种以上的应用；支持根据标签选择应用，并支持给每个应用自定义标签；支持根据标签选择一类应用做控制（需提供产品功能截图证明并加盖厂商公章）；</w:t>
            </w:r>
          </w:p>
          <w:p w14:paraId="3A2E178E">
            <w:pPr>
              <w:keepNext w:val="0"/>
              <w:keepLines w:val="0"/>
              <w:widowControl/>
              <w:numPr>
                <w:ilvl w:val="0"/>
                <w:numId w:val="2"/>
              </w:numPr>
              <w:suppressLineNumbers w:val="0"/>
              <w:jc w:val="left"/>
              <w:textAlignment w:val="center"/>
              <w:rPr>
                <w:rFonts w:hint="eastAsia" w:ascii="仿宋_GB2312" w:hAnsi="仿宋_GB2312" w:eastAsia="仿宋_GB2312" w:cs="仿宋_GB2312"/>
                <w:color w:val="000000"/>
                <w:sz w:val="18"/>
                <w:szCs w:val="18"/>
                <w:lang w:val="en-US" w:eastAsia="zh-CN" w:bidi="ar"/>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基于“流量”、“流速”、“时长”设置配额，当配额耗尽后，将用户加入到指定的流控黑名单惩罚通道中；用户指定应用上网流速超过预设阈值后，网关自动提醒该用户（需提供产品功能截图证明并加盖厂商公章）；</w:t>
            </w:r>
          </w:p>
          <w:p w14:paraId="203E038A">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支持网盘/笔记类应用访问内容和外发文件审计；支持运维类应用的外发附件审计，包括Xshell，Pshell，MobaXterm，SecureCRT；</w:t>
            </w:r>
          </w:p>
          <w:p w14:paraId="09909107">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▲支持客户端SSL解密，客户端会自动推送根证书安装（需提供产品功能截图证明并加盖厂商公章）；</w:t>
            </w:r>
          </w:p>
          <w:p w14:paraId="1693D1A3">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提供3年硬件质保、软件升级、规则库升级服务；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8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0A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530B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6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C8D7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w:t>
            </w:r>
          </w:p>
        </w:tc>
        <w:tc>
          <w:tcPr>
            <w:tcW w:w="1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51F3BCD0">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端点安全管理系统</w:t>
            </w:r>
          </w:p>
        </w:tc>
        <w:tc>
          <w:tcPr>
            <w:tcW w:w="10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4AC8F69">
            <w:pPr>
              <w:pageBreakBefore w:val="0"/>
              <w:numPr>
                <w:ilvl w:val="0"/>
                <w:numId w:val="0"/>
              </w:numPr>
              <w:wordWrap/>
              <w:topLinePunct w:val="0"/>
              <w:bidi w:val="0"/>
              <w:spacing w:line="240" w:lineRule="auto"/>
              <w:rPr>
                <w:rFonts w:hint="eastAsia" w:ascii="仿宋_GB2312" w:hAnsi="仿宋_GB2312" w:eastAsia="仿宋_GB2312" w:cs="仿宋_GB2312"/>
                <w:b/>
                <w:bCs/>
                <w:snapToGrid/>
                <w:kern w:val="2"/>
                <w:sz w:val="18"/>
                <w:szCs w:val="18"/>
                <w:lang w:val="en-US" w:eastAsia="zh-CN" w:bidi="ar-SA"/>
              </w:rPr>
            </w:pPr>
            <w:r>
              <w:rPr>
                <w:rFonts w:hint="eastAsia" w:ascii="仿宋_GB2312" w:hAnsi="仿宋_GB2312" w:eastAsia="仿宋_GB2312" w:cs="仿宋_GB2312"/>
                <w:b/>
                <w:bCs/>
                <w:snapToGrid/>
                <w:kern w:val="2"/>
                <w:sz w:val="18"/>
                <w:szCs w:val="18"/>
                <w:lang w:val="en-US" w:eastAsia="zh-CN" w:bidi="ar-SA"/>
              </w:rPr>
              <w:t>管理控制中心要求：</w:t>
            </w:r>
          </w:p>
          <w:p w14:paraId="62FB28DE">
            <w:pPr>
              <w:pageBreakBefore w:val="0"/>
              <w:numPr>
                <w:ilvl w:val="0"/>
                <w:numId w:val="3"/>
              </w:numPr>
              <w:wordWrap/>
              <w:topLinePunct w:val="0"/>
              <w:bidi w:val="0"/>
              <w:spacing w:line="240" w:lineRule="auto"/>
              <w:rPr>
                <w:rFonts w:hint="eastAsia" w:ascii="仿宋_GB2312" w:hAnsi="仿宋_GB2312" w:eastAsia="仿宋_GB2312" w:cs="仿宋_GB2312"/>
                <w:snapToGrid/>
                <w:kern w:val="2"/>
                <w:sz w:val="18"/>
                <w:szCs w:val="18"/>
                <w:lang w:val="en-US" w:eastAsia="zh-CN" w:bidi="ar-SA"/>
              </w:rPr>
            </w:pPr>
            <w:r>
              <w:rPr>
                <w:rFonts w:hint="eastAsia" w:ascii="仿宋_GB2312" w:hAnsi="仿宋_GB2312" w:eastAsia="仿宋_GB2312" w:cs="仿宋_GB2312"/>
                <w:snapToGrid/>
                <w:kern w:val="2"/>
                <w:sz w:val="18"/>
                <w:szCs w:val="18"/>
                <w:lang w:val="en-US" w:eastAsia="zh-CN" w:bidi="ar-SA"/>
              </w:rPr>
              <w:t>管理控制中心以硬件管理平台形式交付；</w:t>
            </w:r>
          </w:p>
          <w:p w14:paraId="162E30BF">
            <w:pPr>
              <w:pageBreakBefore w:val="0"/>
              <w:numPr>
                <w:ilvl w:val="0"/>
                <w:numId w:val="3"/>
              </w:numPr>
              <w:wordWrap/>
              <w:topLinePunct w:val="0"/>
              <w:bidi w:val="0"/>
              <w:spacing w:line="240" w:lineRule="auto"/>
              <w:rPr>
                <w:rFonts w:hint="eastAsia" w:ascii="仿宋_GB2312" w:hAnsi="仿宋_GB2312" w:eastAsia="仿宋_GB2312" w:cs="仿宋_GB2312"/>
                <w:snapToGrid/>
                <w:kern w:val="2"/>
                <w:sz w:val="18"/>
                <w:szCs w:val="18"/>
                <w:lang w:val="en-US" w:eastAsia="zh-CN" w:bidi="ar-SA"/>
              </w:rPr>
            </w:pPr>
            <w:r>
              <w:rPr>
                <w:rFonts w:hint="eastAsia" w:ascii="仿宋_GB2312" w:hAnsi="仿宋_GB2312" w:eastAsia="仿宋_GB2312" w:cs="仿宋_GB2312"/>
                <w:snapToGrid/>
                <w:kern w:val="2"/>
                <w:sz w:val="18"/>
                <w:szCs w:val="18"/>
                <w:lang w:val="en-US" w:eastAsia="zh-CN" w:bidi="ar-SA"/>
              </w:rPr>
              <w:t>单一管理控制中心可统一管理分别部署在WindowsPC、Windows服务器、Linux服务器以及国产化服务器的客户端软件；</w:t>
            </w:r>
          </w:p>
          <w:p w14:paraId="7E64FA0F">
            <w:pPr>
              <w:pageBreakBefore w:val="0"/>
              <w:numPr>
                <w:ilvl w:val="0"/>
                <w:numId w:val="3"/>
              </w:numPr>
              <w:wordWrap/>
              <w:topLinePunct w:val="0"/>
              <w:bidi w:val="0"/>
              <w:spacing w:line="240" w:lineRule="auto"/>
              <w:rPr>
                <w:rFonts w:hint="eastAsia" w:ascii="仿宋_GB2312" w:hAnsi="仿宋_GB2312" w:eastAsia="仿宋_GB2312" w:cs="仿宋_GB2312"/>
                <w:snapToGrid/>
                <w:kern w:val="2"/>
                <w:sz w:val="18"/>
                <w:szCs w:val="18"/>
                <w:lang w:val="en-US" w:eastAsia="zh-CN" w:bidi="ar-SA"/>
              </w:rPr>
            </w:pPr>
            <w:r>
              <w:rPr>
                <w:rFonts w:hint="eastAsia" w:ascii="仿宋_GB2312" w:hAnsi="仿宋_GB2312" w:eastAsia="仿宋_GB2312" w:cs="仿宋_GB2312"/>
                <w:snapToGrid/>
                <w:kern w:val="2"/>
                <w:sz w:val="18"/>
                <w:szCs w:val="18"/>
                <w:lang w:val="en-US" w:eastAsia="zh-CN" w:bidi="ar-SA"/>
              </w:rPr>
              <w:t>采用B/S架构的管理控制中心，具备终端安全可视，终端统一管理，统一威胁处置，统一漏洞修复，威胁响应处置，日志记录与查询等功能。</w:t>
            </w:r>
          </w:p>
          <w:p w14:paraId="701E126B">
            <w:pPr>
              <w:pageBreakBefore w:val="0"/>
              <w:numPr>
                <w:ilvl w:val="0"/>
                <w:numId w:val="0"/>
              </w:numPr>
              <w:wordWrap/>
              <w:topLinePunct w:val="0"/>
              <w:bidi w:val="0"/>
              <w:spacing w:line="240" w:lineRule="auto"/>
              <w:rPr>
                <w:rFonts w:hint="eastAsia" w:ascii="仿宋_GB2312" w:hAnsi="仿宋_GB2312" w:eastAsia="仿宋_GB2312" w:cs="仿宋_GB2312"/>
                <w:b/>
                <w:bCs/>
                <w:snapToGrid/>
                <w:kern w:val="2"/>
                <w:sz w:val="18"/>
                <w:szCs w:val="18"/>
                <w:lang w:val="en-US" w:eastAsia="zh-CN" w:bidi="ar-SA"/>
              </w:rPr>
            </w:pPr>
            <w:r>
              <w:rPr>
                <w:rFonts w:hint="eastAsia" w:ascii="仿宋_GB2312" w:hAnsi="仿宋_GB2312" w:eastAsia="仿宋_GB2312" w:cs="仿宋_GB2312"/>
                <w:b/>
                <w:bCs/>
                <w:snapToGrid/>
                <w:kern w:val="2"/>
                <w:sz w:val="18"/>
                <w:szCs w:val="18"/>
                <w:lang w:val="en-US" w:eastAsia="zh-CN" w:bidi="ar-SA"/>
              </w:rPr>
              <w:t>PC端要求：</w:t>
            </w:r>
          </w:p>
          <w:p w14:paraId="48A87904">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本次配置≥130个客户端授权；</w:t>
            </w:r>
          </w:p>
          <w:p w14:paraId="240500C0">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支持客户端的错峰升级，可根据实际情况控制客户端同时升级的最大数量，避免大量终端程序同时更新造成网络拥堵或I/O风暴；</w:t>
            </w:r>
          </w:p>
          <w:p w14:paraId="49A292A2">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勒索病毒整体防护体系入口，直观展示最近七天勒索病毒防护效果，包括已处置的勒索病毒数量、已阻止的勒索病毒行为次数、已阻止的未知进程操作次数、已阻止的暴力破解攻击次数（需提供产品功能截图证明并加盖厂商公章）</w:t>
            </w:r>
            <w:r>
              <w:rPr>
                <w:rFonts w:hint="eastAsia" w:ascii="仿宋_GB2312" w:hAnsi="仿宋_GB2312" w:eastAsia="仿宋_GB2312" w:cs="仿宋_GB2312"/>
                <w:kern w:val="0"/>
                <w:sz w:val="18"/>
                <w:szCs w:val="18"/>
              </w:rPr>
              <w:t>；</w:t>
            </w:r>
          </w:p>
          <w:p w14:paraId="1A568301">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基于勒索病毒攻击过程，建立多维度立体防护机制，提供事前入侵防御-事中反加密-事后检测响应的完整防护体系，展示勒索病毒处置情况，对勒索病毒及变种实现专门有效防御</w:t>
            </w:r>
            <w:r>
              <w:rPr>
                <w:rFonts w:hint="eastAsia" w:ascii="仿宋_GB2312" w:hAnsi="仿宋_GB2312" w:eastAsia="仿宋_GB2312" w:cs="仿宋_GB2312"/>
                <w:kern w:val="0"/>
                <w:sz w:val="18"/>
                <w:szCs w:val="18"/>
              </w:rPr>
              <w:t>；</w:t>
            </w:r>
          </w:p>
          <w:p w14:paraId="113157A0">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14:paraId="5A6B2C4A">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同一品牌的防火墙检测到某主机有僵木蠕毒的C2通信时，支持手动或自动化将恶意域名信息下发到本设备做C2通信的封锁拦截，实现精准防远控，且防火墙的此事件不再重复告警（提供防火墙产品的联动下发C2通信封锁拦截的功能截图，提供本产品来源于联动防火墙产品的事件截图）</w:t>
            </w:r>
          </w:p>
          <w:p w14:paraId="08B3E0D1">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通过智能识别终端环境情况（低配硬件、老旧设备、虚拟化等）和当前终端资源占用，在闲时实时监控和病毒扫描场景，都可智能调整EDR的资源占用（CPU、IO等），为业务让出资源，不卡业务，对业务零摩擦。</w:t>
            </w:r>
          </w:p>
          <w:p w14:paraId="24E68636">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以可视化形式展现攻击故事，提供可视化的进程树溯源，可直观看出攻击入口、相关操作行为、高危实体文件等信息，协助进行事件攻击溯源和研判分析（提供可视化展示攻击链条和路径的截图证明并加盖厂商公章）；</w:t>
            </w:r>
          </w:p>
          <w:p w14:paraId="5345220C">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支持用户直接对勒索病毒的家族名、病毒名、加密文件后缀名执行链接查询，可通过直接上传加密文件的方式确定勒索病毒类型，如果能解密可以提供必要的解密工具；</w:t>
            </w:r>
          </w:p>
          <w:p w14:paraId="7DD2B64F">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▲支持流行Windows高危漏洞的轻补丁免疫防御，支持Windows补丁批量一键修复（需提供产品功能截图证明并加盖厂商公章）；</w:t>
            </w:r>
          </w:p>
          <w:p w14:paraId="70259B7F">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▲支持对Windows停更的系统提供专项防护，包括0day漏洞防护、文件防护、暴破入侵防护、系统脆弱点识别和风险端口封堵等多项核心功能（需提供产品功能截图证明并加盖厂商公章）；</w:t>
            </w:r>
          </w:p>
          <w:p w14:paraId="4E400EE7">
            <w:pPr>
              <w:keepNext w:val="0"/>
              <w:keepLines w:val="0"/>
              <w:widowControl/>
              <w:numPr>
                <w:ilvl w:val="0"/>
                <w:numId w:val="4"/>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提供3年规则库升级和软件升级服务。</w:t>
            </w:r>
          </w:p>
          <w:p w14:paraId="0AC3306A">
            <w:pPr>
              <w:pageBreakBefore w:val="0"/>
              <w:numPr>
                <w:ilvl w:val="0"/>
                <w:numId w:val="0"/>
              </w:numPr>
              <w:wordWrap/>
              <w:topLinePunct w:val="0"/>
              <w:bidi w:val="0"/>
              <w:spacing w:line="240" w:lineRule="auto"/>
              <w:rPr>
                <w:rFonts w:hint="eastAsia" w:ascii="仿宋_GB2312" w:hAnsi="仿宋_GB2312" w:eastAsia="仿宋_GB2312" w:cs="仿宋_GB2312"/>
                <w:b/>
                <w:bCs/>
                <w:snapToGrid/>
                <w:kern w:val="2"/>
                <w:sz w:val="18"/>
                <w:szCs w:val="18"/>
                <w:lang w:val="en-US" w:eastAsia="zh-CN" w:bidi="ar-SA"/>
              </w:rPr>
            </w:pPr>
            <w:r>
              <w:rPr>
                <w:rFonts w:hint="eastAsia" w:ascii="仿宋_GB2312" w:hAnsi="仿宋_GB2312" w:eastAsia="仿宋_GB2312" w:cs="仿宋_GB2312"/>
                <w:b/>
                <w:bCs/>
                <w:snapToGrid/>
                <w:kern w:val="2"/>
                <w:sz w:val="18"/>
                <w:szCs w:val="18"/>
                <w:lang w:val="en-US" w:eastAsia="zh-CN" w:bidi="ar-SA"/>
              </w:rPr>
              <w:t>服务端要求：</w:t>
            </w:r>
          </w:p>
          <w:p w14:paraId="0677632B">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本次配置≥10个服务器终端授权；</w:t>
            </w:r>
          </w:p>
          <w:p w14:paraId="6BE4C688">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支持客户端的错峰升级，可根据实际情况控制客户端同时升级的最大数量，避免大量终端程序同时更新造成网络拥堵或I/O风暴；</w:t>
            </w:r>
          </w:p>
          <w:p w14:paraId="79B76BCF">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勒索病毒整体防护体系入口，直观展示最近七天勒索病毒防护效果，包括已处置的勒索病毒数量、已阻止的勒索病毒行为次数、已阻止的未知进程操作次数、已阻止的暴力破解攻击次数（需提供产品功能截图证明并加盖厂商公章）</w:t>
            </w:r>
            <w:r>
              <w:rPr>
                <w:rFonts w:hint="eastAsia" w:ascii="仿宋_GB2312" w:hAnsi="仿宋_GB2312" w:eastAsia="仿宋_GB2312" w:cs="仿宋_GB2312"/>
                <w:kern w:val="0"/>
                <w:sz w:val="18"/>
                <w:szCs w:val="18"/>
              </w:rPr>
              <w:t>；</w:t>
            </w:r>
          </w:p>
          <w:p w14:paraId="05B68B59">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基于勒索病毒攻击过程，建立多维度立体防护机制，提供事前入侵防御-事中反加密-事后检测响应的完整防护体系，展示勒索病毒处置情况，对勒索病毒及变种实现专门有效防御；</w:t>
            </w:r>
          </w:p>
          <w:p w14:paraId="6B161B71">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14:paraId="43C22905">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同一品牌的防火墙检测到某主机有僵木蠕毒的C2通信时，支持手动或自动化将恶意域名信息下发到本设备做C2通信的封锁拦截，实现精准防远控，且防火墙的此事件不再重复告警（提供防火墙产品的联动下发C2通信封锁拦截的功能截图，提供本产品来源于联动防火墙产品的事件截图）</w:t>
            </w:r>
          </w:p>
          <w:p w14:paraId="30A22A6A">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通过智能识别终端环境情况（低配硬件、老旧设备、虚拟化等）和当前终端资源占用，在闲时实时监控和病毒扫描场景，都可智能调整EDR的资源占用（CPU、IO等），为业务让出资源，不卡业务，对业务零摩擦。</w:t>
            </w:r>
          </w:p>
          <w:p w14:paraId="25496412">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▲支持windows服务器RDP远程登录保护，可开启RDP远程登录二次认证，以防止黑客对服务器的入侵（需提供产品功能截图证明并加盖厂商公章）</w:t>
            </w:r>
            <w:r>
              <w:rPr>
                <w:rFonts w:hint="eastAsia" w:ascii="仿宋_GB2312" w:hAnsi="仿宋_GB2312" w:eastAsia="仿宋_GB2312" w:cs="仿宋_GB2312"/>
                <w:kern w:val="0"/>
                <w:sz w:val="18"/>
                <w:szCs w:val="18"/>
              </w:rPr>
              <w:t>；</w:t>
            </w:r>
          </w:p>
          <w:p w14:paraId="45542FFB">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Linux服务器SSH远程登录保护，可开启SSH远程登录二次认证，以防止黑客利用弱密码脆弱性对服务器的入侵；支持设置验证码验证或自定义密码验证，支持设置登录认证提示、生效时间段和免二次认证白名单（需提供产品功能截图证明并加盖厂商公章）</w:t>
            </w:r>
            <w:r>
              <w:rPr>
                <w:rFonts w:hint="eastAsia" w:ascii="仿宋_GB2312" w:hAnsi="仿宋_GB2312" w:eastAsia="仿宋_GB2312" w:cs="仿宋_GB2312"/>
                <w:kern w:val="0"/>
                <w:sz w:val="18"/>
                <w:szCs w:val="18"/>
              </w:rPr>
              <w:t>；</w:t>
            </w:r>
          </w:p>
          <w:p w14:paraId="38C105D8">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▲支持对Windows停更的系统提供专项防护，包括0day漏洞防护、文件防护、暴破入侵防护、系统脆弱点识别和风险端口封堵等多项核心功能（需提供产品功能截图证明并加盖厂商公章）；</w:t>
            </w:r>
          </w:p>
          <w:p w14:paraId="4BF621C8">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▲支持流行Windows高危漏洞的轻补丁免疫防御，支持Windows补丁批量一键修复（需提供产品功能截图证明并加盖厂商公章）；</w:t>
            </w:r>
          </w:p>
          <w:p w14:paraId="2185976A">
            <w:pPr>
              <w:keepNext w:val="0"/>
              <w:keepLines w:val="0"/>
              <w:widowControl/>
              <w:numPr>
                <w:ilvl w:val="0"/>
                <w:numId w:val="5"/>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提供3年规则库升级和软件升级服务。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B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87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15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0F35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8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8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数据库审计</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A4F">
            <w:pPr>
              <w:keepNext w:val="0"/>
              <w:keepLines w:val="0"/>
              <w:widowControl/>
              <w:numPr>
                <w:ilvl w:val="0"/>
                <w:numId w:val="0"/>
              </w:numPr>
              <w:suppressLineNumbers w:val="0"/>
              <w:jc w:val="left"/>
              <w:textAlignment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r>
              <w:rPr>
                <w:rFonts w:hint="eastAsia" w:ascii="仿宋_GB2312" w:hAnsi="仿宋_GB2312" w:eastAsia="仿宋_GB2312" w:cs="仿宋_GB2312"/>
                <w:b/>
                <w:bCs/>
                <w:sz w:val="18"/>
                <w:szCs w:val="18"/>
                <w:lang w:val="en-US" w:eastAsia="zh-CN"/>
              </w:rPr>
              <w:t>：</w:t>
            </w:r>
          </w:p>
          <w:p w14:paraId="2BEA2DCF">
            <w:pPr>
              <w:keepNext w:val="0"/>
              <w:keepLines w:val="0"/>
              <w:widowControl/>
              <w:numPr>
                <w:ilvl w:val="0"/>
                <w:numId w:val="0"/>
              </w:numPr>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内存大小</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8G，硬盘容量</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2T SATA，千兆电口</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6</w:t>
            </w:r>
            <w:r>
              <w:rPr>
                <w:rFonts w:hint="eastAsia" w:ascii="仿宋_GB2312" w:hAnsi="仿宋_GB2312" w:eastAsia="仿宋_GB2312" w:cs="仿宋_GB2312"/>
                <w:sz w:val="18"/>
                <w:szCs w:val="18"/>
                <w:lang w:val="en-US" w:eastAsia="zh-CN"/>
              </w:rPr>
              <w:t>个、</w:t>
            </w:r>
            <w:r>
              <w:rPr>
                <w:rFonts w:hint="eastAsia" w:ascii="仿宋_GB2312" w:hAnsi="仿宋_GB2312" w:eastAsia="仿宋_GB2312" w:cs="仿宋_GB2312"/>
                <w:sz w:val="18"/>
                <w:szCs w:val="18"/>
              </w:rPr>
              <w:t>万兆SFP+光口</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val="en-US" w:eastAsia="zh-CN"/>
              </w:rPr>
              <w:t xml:space="preserve">个 </w:t>
            </w: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并配备相应光模块</w:t>
            </w:r>
          </w:p>
          <w:p w14:paraId="5A0317E9">
            <w:pPr>
              <w:keepNext w:val="0"/>
              <w:keepLines w:val="0"/>
              <w:widowControl/>
              <w:numPr>
                <w:ilvl w:val="0"/>
                <w:numId w:val="0"/>
              </w:numPr>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b/>
                <w:bCs/>
                <w:sz w:val="18"/>
                <w:szCs w:val="18"/>
                <w:lang w:val="en-US" w:eastAsia="zh-CN"/>
              </w:rPr>
              <w:t>性能要求：</w:t>
            </w:r>
          </w:p>
          <w:p w14:paraId="40312003">
            <w:pPr>
              <w:keepNext w:val="0"/>
              <w:keepLines w:val="0"/>
              <w:widowControl/>
              <w:numPr>
                <w:ilvl w:val="0"/>
                <w:numId w:val="0"/>
              </w:numPr>
              <w:suppressLineNumbers w:val="0"/>
              <w:jc w:val="left"/>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硬件吞吐量</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2Gbps，纯数据库流量</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400Mb/s，数据库实例个数</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30个，SQL处理性能</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30000条SQL/s，日志检索性能</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rPr>
              <w:t xml:space="preserve">500000条/秒。 </w:t>
            </w:r>
          </w:p>
          <w:p w14:paraId="78B7F4F4">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sz w:val="18"/>
                <w:szCs w:val="18"/>
                <w:lang w:val="en-US" w:eastAsia="zh-CN"/>
              </w:rPr>
              <w:t>功能要求：</w:t>
            </w:r>
            <w:r>
              <w:rPr>
                <w:rFonts w:hint="eastAsia" w:ascii="仿宋_GB2312" w:hAnsi="仿宋_GB2312" w:eastAsia="仿宋_GB2312" w:cs="仿宋_GB2312"/>
                <w:sz w:val="18"/>
                <w:szCs w:val="18"/>
              </w:rPr>
              <w:t xml:space="preserve"> </w:t>
            </w:r>
          </w:p>
          <w:p w14:paraId="15EC8E28">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采用B/S管理方式，无需在被审计系统上安装任何代理；无需单独的数据中心，一台设备完成所有工作；提供图形用户界面，以简单、直观的方式完成策略配置、警报查询、攻击响应、集中管理等各种任务；</w:t>
            </w:r>
          </w:p>
          <w:p w14:paraId="5C3C170F">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▲支持主流数据库Oracle（Tdata）、SQL-Server、DB2、MySQL（Tdsql）、Informix、Sybase、Postgresql、Cache、MongDB、K-DB，虚谷、达梦等（需提供截图证明并加盖原厂商公章）；</w:t>
            </w:r>
          </w:p>
          <w:p w14:paraId="1F806104">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▲精细化日志秒级查询，通过SQL串模式抽取保障磁盘IO的读写性能；分离式存储SQL语句保障数据审计速度快（需提供截图证明并加盖原厂商公章）；</w:t>
            </w:r>
          </w:p>
          <w:p w14:paraId="7DB21FD2">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支持以时间、源IP、客户端程序、业务系统、数据库用户、数据库名、操作类型、表名、返回行数、影响行数、响应时长、响应码、策略、规则、风险级别、SQL模版为条件的数据库风险查询；</w:t>
            </w:r>
          </w:p>
          <w:p w14:paraId="2FE8EC5C">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需提供截图证明并加盖原厂商公章）；</w:t>
            </w:r>
          </w:p>
          <w:p w14:paraId="133DF6D3">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需提供截图证明并加盖原厂商公章）；</w:t>
            </w:r>
          </w:p>
          <w:p w14:paraId="54C34BB6">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支持以时间、源IP、客户端程序、业务系统、数据库用户、数据库名、操作类型、表名、返回行数、影响行数、响应时长、响应码、策略、规则、风险级别、SQL模版为条件的数据库风险查询；</w:t>
            </w:r>
          </w:p>
          <w:p w14:paraId="117369D9">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数据库威胁分析：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p w14:paraId="7F321F6B">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持基于SQL命令的webshell检测；</w:t>
            </w:r>
          </w:p>
          <w:p w14:paraId="08C34382">
            <w:pPr>
              <w:keepNext w:val="0"/>
              <w:keepLines w:val="0"/>
              <w:widowControl/>
              <w:numPr>
                <w:ilvl w:val="0"/>
                <w:numId w:val="6"/>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2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48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9C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6377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0D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8A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日志</w:t>
            </w:r>
          </w:p>
          <w:p w14:paraId="6F209B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审计</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18D">
            <w:pPr>
              <w:keepNext w:val="0"/>
              <w:keepLines w:val="0"/>
              <w:widowControl/>
              <w:numPr>
                <w:ilvl w:val="0"/>
                <w:numId w:val="0"/>
              </w:numPr>
              <w:suppressLineNumbers w:val="0"/>
              <w:jc w:val="left"/>
              <w:textAlignment w:val="center"/>
              <w:rPr>
                <w:rFonts w:hint="eastAsia" w:ascii="仿宋_GB2312" w:hAnsi="仿宋_GB2312" w:eastAsia="仿宋_GB2312" w:cs="仿宋_GB2312"/>
                <w:b/>
                <w:bCs/>
                <w:color w:val="000000"/>
                <w:sz w:val="18"/>
                <w:szCs w:val="18"/>
                <w:lang w:val="en-US" w:eastAsia="zh-CN" w:bidi="ar"/>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r>
              <w:rPr>
                <w:rFonts w:hint="eastAsia" w:ascii="仿宋_GB2312" w:hAnsi="仿宋_GB2312" w:eastAsia="仿宋_GB2312" w:cs="仿宋_GB2312"/>
                <w:b/>
                <w:bCs/>
                <w:color w:val="000000"/>
                <w:sz w:val="18"/>
                <w:szCs w:val="18"/>
                <w:lang w:val="en-US" w:eastAsia="zh-CN" w:bidi="ar"/>
              </w:rPr>
              <w:t>：</w:t>
            </w:r>
          </w:p>
          <w:p w14:paraId="7B559FDF">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内存大小≥16G，硬盘容量：minisata≥128G、SATA≥4T，千兆电口≥6个、万兆SFP+光口≥2个 并配备相应光模块</w:t>
            </w:r>
          </w:p>
          <w:p w14:paraId="0D323D9B">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396723AB">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默认包含主机审计许可证书数量≥50，最大可扩展审计主机许可数≥150，可用存储量≥2TB（RAID1 模式），平均每秒处理日志数（eps）最大性能≥2500。</w:t>
            </w:r>
          </w:p>
          <w:p w14:paraId="256CD5FE">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4F0B38B6">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支持主动、被动相结合的数据采集方式，支持通过Agent采集日志数据，支持通过syslog、SNMP Trap、JDBC、WMI、webservice、FTP、文件\文件夹读取、Kafka等多种方式完成日志收集；</w:t>
            </w:r>
          </w:p>
          <w:p w14:paraId="7956BF4E">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▲支持通过正则、分隔符、json、xml的可视方式进行自定义规则解析，支持对解析结果字段的新增、合并、映射（需提供产品功能截图证明并加盖厂商公章）；</w:t>
            </w:r>
          </w:p>
          <w:p w14:paraId="4E509D08">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▲支持对单个/多个日志源批量转发，支持定时转发，可通过syslog和kafka方式转发到第三方平台，并且支持转发原始日志和已解析日志的两种日志（需提供产品功能截图证明并加盖厂商公章）；</w:t>
            </w:r>
          </w:p>
          <w:p w14:paraId="7248AF7B">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支持日志文件备份到外置存储节点，支持ISCSI存储方式，并可查看外置存储容量、状态等信息。支持以FTP方式将日志数据备份至外部存储空间，支持备份数据的恢复和查询；</w:t>
            </w:r>
          </w:p>
          <w:p w14:paraId="618C77CC">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▲支持单条事件进行展开，显示事件详细信息和事件原始信息，支持事件详情中任意字段作为查询条件无限制进行二次检索分析（需提供产品功能截图证明并加盖厂商公章）；</w:t>
            </w:r>
          </w:p>
          <w:p w14:paraId="5FAD7E1A">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支持告警事件归并、告警确认和告警归档，支持基于频率、频次、时间的设定条件;</w:t>
            </w:r>
          </w:p>
          <w:p w14:paraId="5A086AA2">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▲支持解码小工具，按照不同的解码方式解码成不同的目标内容，编码格式包括base64、Unicode、GBK、HEX、UTF-8等（需提供截图证明并加盖厂商公章）。</w:t>
            </w:r>
          </w:p>
          <w:p w14:paraId="7FB4BA5F">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支持对IPv4/ipv6对象的自动发现功能，对自动发现的设备可以修改、删除或转为资产；</w:t>
            </w:r>
          </w:p>
          <w:p w14:paraId="425DF22C">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需提供产品功能截图证明并加盖厂商公章）；</w:t>
            </w:r>
          </w:p>
          <w:p w14:paraId="4DB74DBA">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日志进行归一化操作后，对日志等级进行映射，根据不同日志源统计不同等级下的日志数量。</w:t>
            </w:r>
          </w:p>
          <w:p w14:paraId="411FCD32">
            <w:pPr>
              <w:keepNext w:val="0"/>
              <w:keepLines w:val="0"/>
              <w:widowControl/>
              <w:numPr>
                <w:ilvl w:val="0"/>
                <w:numId w:val="7"/>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20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22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2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45FF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B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C6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运维</w:t>
            </w:r>
          </w:p>
          <w:p w14:paraId="14F08C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审计</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639C">
            <w:pPr>
              <w:keepNext w:val="0"/>
              <w:keepLines w:val="0"/>
              <w:widowControl/>
              <w:numPr>
                <w:ilvl w:val="0"/>
                <w:numId w:val="0"/>
              </w:numPr>
              <w:suppressLineNumbers w:val="0"/>
              <w:jc w:val="left"/>
              <w:textAlignment w:val="center"/>
              <w:rPr>
                <w:rFonts w:hint="eastAsia" w:ascii="仿宋_GB2312" w:hAnsi="仿宋_GB2312" w:eastAsia="仿宋_GB2312" w:cs="仿宋_GB2312"/>
                <w:b/>
                <w:bCs/>
                <w:color w:val="000000"/>
                <w:sz w:val="18"/>
                <w:szCs w:val="18"/>
                <w:lang w:val="en-US" w:eastAsia="zh-CN" w:bidi="ar"/>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r>
              <w:rPr>
                <w:rFonts w:hint="eastAsia" w:ascii="仿宋_GB2312" w:hAnsi="仿宋_GB2312" w:eastAsia="仿宋_GB2312" w:cs="仿宋_GB2312"/>
                <w:b/>
                <w:bCs/>
                <w:color w:val="000000"/>
                <w:sz w:val="18"/>
                <w:szCs w:val="18"/>
                <w:lang w:val="en-US" w:eastAsia="zh-CN" w:bidi="ar"/>
              </w:rPr>
              <w:t>：</w:t>
            </w:r>
          </w:p>
          <w:p w14:paraId="1018C2F2">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内存大小≥8G，硬盘容量：SATA≥2TB ，千兆电口≥6个</w:t>
            </w:r>
          </w:p>
          <w:p w14:paraId="1F98BF21">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1BEDC60F">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默认包含≥50点授权（最高支持150授权)，并发数：字符运维最大并发≥200 / 图形运维最大并发≥100。</w:t>
            </w:r>
          </w:p>
          <w:p w14:paraId="440644E0">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2237DC0E">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▲支持通过动作流配置提供广泛的应用接入支持，无论被接入的资源如何设计登录动作，通过动作流配置都可以实现单点登陆和审计接入（需提供截图证明并加盖厂商公章）；</w:t>
            </w:r>
          </w:p>
          <w:p w14:paraId="50A18AA7">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▲支持在授权基础上自定义访问审批流程，可设置一级或多级审批人，每级审批可指定通过投票数，需逐级审批通过才可最终发起运维操作（需提供截图证明并加盖厂商公章）。</w:t>
            </w:r>
          </w:p>
          <w:p w14:paraId="045D4AB3">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内置三员角色的同时支持角色灵活自定义，可根据用户实际的管理特性或特殊的安全管理组织架构，划分管理角色的管理范畴；</w:t>
            </w:r>
          </w:p>
          <w:p w14:paraId="1F606A23">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支持一对一、一对多、多对多授权，如将单个资产授权多个用户，一个用户授予多个资产，用户组向资产组授权；</w:t>
            </w:r>
          </w:p>
          <w:p w14:paraId="02EB6D5B">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▲支持命令审批规则，用户执行高危命令时需要管理员审批后才允许执行；命令审批规则可以指定运维人员、访问设备、设备账号及命令审批人（需提供截图证明并加盖厂商公章）；</w:t>
            </w:r>
          </w:p>
          <w:p w14:paraId="1E889A8B">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支持web页面直接发起运维，无需安装任何控件，并同时支持调用SecureCRT、Xshell、Putty、WinSCP、FileZilla、RDP等客户端工具实现单点登陆，不改变运维人员操作习惯；</w:t>
            </w:r>
          </w:p>
          <w:p w14:paraId="074940A3">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▲全面支持IPV6，设备自身可以配置IPV6地址供客户端访问，并且支持目标设备配置IPV6地址实现单点登陆和审计（需提供截图证明并加盖厂商公章）；</w:t>
            </w:r>
          </w:p>
          <w:p w14:paraId="3C556E50">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具有日志防溢出功能，当磁盘空间达到阈值时，可设置停止记录审计日志或日志回滚；</w:t>
            </w:r>
          </w:p>
          <w:p w14:paraId="6B755304">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图形资源访问时，支持键盘、剪切板、窗口标题、文件传输记录，并且对图形资源的审计回放时，可以从某个键盘、剪切板、窗口标题、文件传输记录的指定位置开始回放；</w:t>
            </w:r>
          </w:p>
          <w:p w14:paraId="788EB7D9">
            <w:pPr>
              <w:keepNext w:val="0"/>
              <w:keepLines w:val="0"/>
              <w:widowControl/>
              <w:numPr>
                <w:ilvl w:val="0"/>
                <w:numId w:val="8"/>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支持日志数据的外置存储，支持NFS、ISCSI和Windows文件共享协议；</w:t>
            </w:r>
          </w:p>
          <w:p w14:paraId="174B4BEF">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aps w:val="0"/>
                <w:color w:val="FFFFFF"/>
                <w:spacing w:val="0"/>
                <w:sz w:val="14"/>
                <w:szCs w:val="14"/>
                <w:shd w:val="clear" w:fill="3E5367"/>
                <w:lang w:val="en-US" w:eastAsia="zh-CN"/>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11提供3年硬件质保、软件升级服务；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0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27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A0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F14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153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1755F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auto"/>
                <w:kern w:val="0"/>
                <w:sz w:val="20"/>
                <w:szCs w:val="20"/>
                <w:highlight w:val="none"/>
                <w:u w:val="none"/>
                <w:lang w:val="en-US" w:eastAsia="zh-CN" w:bidi="ar"/>
              </w:rPr>
              <w:t>二、网络升级改造</w:t>
            </w:r>
          </w:p>
        </w:tc>
      </w:tr>
      <w:tr w14:paraId="29C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A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56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非网管交换机</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2600">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09059E53">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千兆POE电口≥16个、千兆SFP光口≥2个</w:t>
            </w:r>
          </w:p>
          <w:p w14:paraId="129493A0">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6B97FB69">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交换性能≥192Gbps、包转发率≥40Mpps；MAC地址量≥8K</w:t>
            </w:r>
          </w:p>
          <w:p w14:paraId="31C9AB60">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24CBF53B">
            <w:pPr>
              <w:keepNext w:val="0"/>
              <w:keepLines w:val="0"/>
              <w:widowControl/>
              <w:numPr>
                <w:ilvl w:val="0"/>
                <w:numId w:val="9"/>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支持手动切换工作模式，可切换为正常模式、端口隔离模式及网络延长模式；</w:t>
            </w:r>
          </w:p>
          <w:p w14:paraId="0A9682A0">
            <w:pPr>
              <w:keepNext w:val="0"/>
              <w:keepLines w:val="0"/>
              <w:widowControl/>
              <w:numPr>
                <w:ilvl w:val="0"/>
                <w:numId w:val="9"/>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33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6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6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5452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1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88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轻管交换机</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5CFB">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21169C6C">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千兆POE电口≥24个、千兆SFP光口≥2个</w:t>
            </w:r>
          </w:p>
          <w:p w14:paraId="428F15D8">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15E633BE">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交换性能≥256Gbps、包转发率≥48Mpps；MAC地址量≥8K；</w:t>
            </w:r>
          </w:p>
          <w:p w14:paraId="4276BFCA">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361CF1B4">
            <w:pPr>
              <w:keepNext w:val="0"/>
              <w:keepLines w:val="0"/>
              <w:widowControl/>
              <w:numPr>
                <w:ilvl w:val="0"/>
                <w:numId w:val="1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PD输入(802.3at输入）</w:t>
            </w:r>
          </w:p>
          <w:p w14:paraId="2340760F">
            <w:pPr>
              <w:keepNext w:val="0"/>
              <w:keepLines w:val="0"/>
              <w:widowControl/>
              <w:numPr>
                <w:ilvl w:val="0"/>
                <w:numId w:val="1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支持交换机端口设置为信任端口或非信任端口，非信任端口也可设置白名单响应DHCP报文；</w:t>
            </w:r>
          </w:p>
          <w:p w14:paraId="18B1FA82">
            <w:pPr>
              <w:keepNext w:val="0"/>
              <w:keepLines w:val="0"/>
              <w:widowControl/>
              <w:numPr>
                <w:ilvl w:val="0"/>
                <w:numId w:val="1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PoE输入或者内置电源(220V/50Hz)输入，两种供电模式，互为热备</w:t>
            </w:r>
          </w:p>
          <w:p w14:paraId="3CEE78BA">
            <w:pPr>
              <w:keepNext w:val="0"/>
              <w:keepLines w:val="0"/>
              <w:widowControl/>
              <w:numPr>
                <w:ilvl w:val="0"/>
                <w:numId w:val="1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提供3年硬件质保、软件升级服务服务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C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6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B8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3505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5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ED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吸顶AP</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61E">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24B4937D">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千兆以太网口≥1个、RJ-45Console管理口≥1个</w:t>
            </w:r>
          </w:p>
          <w:p w14:paraId="7EF065AD">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58FC4735">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2.4G最大传输速率≥300Mbps，5G最大传输速率≥867Mbps，整机最大传输速率≥1167Mbps；单射频接入终端数≥128，整机最大接入终端数≥256</w:t>
            </w:r>
          </w:p>
          <w:p w14:paraId="6C12B141">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63CF9FE7">
            <w:pPr>
              <w:keepNext w:val="0"/>
              <w:keepLines w:val="0"/>
              <w:widowControl/>
              <w:numPr>
                <w:ilvl w:val="0"/>
                <w:numId w:val="1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支持802.3af供电</w:t>
            </w:r>
          </w:p>
          <w:p w14:paraId="117688FB">
            <w:pPr>
              <w:keepNext w:val="0"/>
              <w:keepLines w:val="0"/>
              <w:widowControl/>
              <w:numPr>
                <w:ilvl w:val="0"/>
                <w:numId w:val="1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支持2x2 MIMO，802.11ac协议，兼容802.11ac Wave 2/b/g/n/ac协议，支持2.4G和5G同时工作；</w:t>
            </w:r>
          </w:p>
          <w:p w14:paraId="3A37E080">
            <w:pPr>
              <w:keepNext w:val="0"/>
              <w:keepLines w:val="0"/>
              <w:widowControl/>
              <w:numPr>
                <w:ilvl w:val="0"/>
                <w:numId w:val="1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通过基于特征和协议的射频优化，有效提升无线部署中高密度接入、流媒体传输等场景中的应用加速能力和质量保障效果。其中包含：多用户时间公平调度、混合接入公平、终端速率管控、组播增强、广播优化和智能带宽保障等；</w:t>
            </w:r>
          </w:p>
          <w:p w14:paraId="464B2CD6">
            <w:pPr>
              <w:keepNext w:val="0"/>
              <w:keepLines w:val="0"/>
              <w:widowControl/>
              <w:numPr>
                <w:ilvl w:val="0"/>
                <w:numId w:val="1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支持802.1x认证、MAC地址认证、PSK认证、Portal认证等</w:t>
            </w:r>
          </w:p>
          <w:p w14:paraId="37D41856">
            <w:pPr>
              <w:keepNext w:val="0"/>
              <w:keepLines w:val="0"/>
              <w:widowControl/>
              <w:numPr>
                <w:ilvl w:val="0"/>
                <w:numId w:val="11"/>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提供3年硬件质保、软件升级服务服务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9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9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EE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25E2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A2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4</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22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面板AP</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CC8F">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4BC71079">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上联千兆以太网口≥1个，≥1个透传口；下联千兆以太网口≥1个，≥1个透传口；</w:t>
            </w:r>
          </w:p>
          <w:p w14:paraId="197C986E">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性能要求：</w:t>
            </w:r>
          </w:p>
          <w:p w14:paraId="0C6A515A">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2.4G最大传输速率≥400Mbps，5G最大传输速率≥867Mbps，整机最大传输速率≥1267Mbps；单射频接入终端数≥128，整机最大接入终端数≥256</w:t>
            </w:r>
          </w:p>
          <w:p w14:paraId="2BE5A78E">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4BCE4EC0">
            <w:pPr>
              <w:keepNext w:val="0"/>
              <w:keepLines w:val="0"/>
              <w:widowControl/>
              <w:numPr>
                <w:ilvl w:val="0"/>
                <w:numId w:val="1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支持2x2 MIMO，802.11ac协议，兼容802.11ac Wave 2/b/g/n/ac协议，支持2.4G和5G同时工作；</w:t>
            </w:r>
          </w:p>
          <w:p w14:paraId="0010D145">
            <w:pPr>
              <w:keepNext w:val="0"/>
              <w:keepLines w:val="0"/>
              <w:widowControl/>
              <w:numPr>
                <w:ilvl w:val="0"/>
                <w:numId w:val="1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支持AP零配置，支持二三层发现、DHCP Option43、DNS域名等多种具备无线控制器功能设备自动发现机制；</w:t>
            </w:r>
          </w:p>
          <w:p w14:paraId="5313322C">
            <w:pPr>
              <w:keepNext w:val="0"/>
              <w:keepLines w:val="0"/>
              <w:widowControl/>
              <w:numPr>
                <w:ilvl w:val="0"/>
                <w:numId w:val="1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支持802.1x认证、MAC地址认证、PSK认证、Portal认证等</w:t>
            </w:r>
          </w:p>
          <w:p w14:paraId="66A2EA08">
            <w:pPr>
              <w:keepNext w:val="0"/>
              <w:keepLines w:val="0"/>
              <w:widowControl/>
              <w:numPr>
                <w:ilvl w:val="0"/>
                <w:numId w:val="1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支持802.3af供电</w:t>
            </w:r>
          </w:p>
          <w:p w14:paraId="1AF3877C">
            <w:pPr>
              <w:keepNext w:val="0"/>
              <w:keepLines w:val="0"/>
              <w:widowControl/>
              <w:numPr>
                <w:ilvl w:val="0"/>
                <w:numId w:val="12"/>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提供3年硬件质保、软件升级服务服务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C7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50台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C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AF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39A0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C4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4D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机柜</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C53D">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硬件要求：</w:t>
            </w:r>
          </w:p>
          <w:p w14:paraId="26AD605D">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6U壁挂机柜；配备PDU电源、机柜风扇、机柜托盘</w:t>
            </w:r>
          </w:p>
          <w:p w14:paraId="67AE9CD9">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18"/>
                <w:szCs w:val="18"/>
                <w:u w:val="none"/>
                <w:lang w:val="en-US" w:eastAsia="zh-CN" w:bidi="ar"/>
                <w14:textFill>
                  <w14:solidFill>
                    <w14:schemeClr w14:val="tx1"/>
                  </w14:solidFill>
                </w14:textFill>
              </w:rPr>
              <w:t>功能要求：</w:t>
            </w:r>
          </w:p>
          <w:p w14:paraId="18D42DFD">
            <w:pPr>
              <w:keepNext w:val="0"/>
              <w:keepLines w:val="0"/>
              <w:widowControl/>
              <w:numPr>
                <w:ilvl w:val="0"/>
                <w:numId w:val="13"/>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多种过线方式：上下背部敲落孔结构</w:t>
            </w:r>
          </w:p>
          <w:p w14:paraId="55ACEC1F">
            <w:pPr>
              <w:keepNext w:val="0"/>
              <w:keepLines w:val="0"/>
              <w:widowControl/>
              <w:numPr>
                <w:ilvl w:val="0"/>
                <w:numId w:val="13"/>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侧门可拆卸且配锁具，机柜顶部、底部、背部过线口均可拆卸。</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4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32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4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61FD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EA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7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KVM</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EBC">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接口：VGA;切换接口数：8个（8进1出）；切换方式：面板按键、桌面控制器、红外遥控器；配备9条专用KVM线；</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4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8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4E5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AA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7</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01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机房门禁</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3EC4">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开锁方式：动态人脸、指纹、虚位密码、刷卡；通信方式：USB、</w:t>
            </w:r>
            <w:r>
              <w:rPr>
                <w:rFonts w:hint="eastAsia" w:ascii="仿宋_GB2312" w:hAnsi="仿宋_GB2312" w:eastAsia="仿宋_GB2312" w:cs="仿宋_GB2312"/>
                <w:b w:val="0"/>
                <w:bCs w:val="0"/>
                <w:i w:val="0"/>
                <w:iCs w:val="0"/>
                <w:color w:val="000000" w:themeColor="text1"/>
                <w:kern w:val="0"/>
                <w:sz w:val="18"/>
                <w:szCs w:val="18"/>
                <w:u w:val="none"/>
                <w:lang w:eastAsia="zh-CN" w:bidi="ar"/>
                <w14:textFill>
                  <w14:solidFill>
                    <w14:schemeClr w14:val="tx1"/>
                  </w14:solidFill>
                </w14:textFill>
              </w:rPr>
              <w:t>TCP/IP；防撬报警、试错报警；安装位置：上下无框玻璃门。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CE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69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1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10F6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7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8</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E4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eastAsia="zh-CN" w:bidi="ar"/>
                <w14:textFill>
                  <w14:solidFill>
                    <w14:schemeClr w14:val="tx1"/>
                  </w14:solidFill>
                </w14:textFill>
              </w:rPr>
              <w:t>空调</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194">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制冷功率≥2000W，精密空调制冷量7.5kw,风量≥2800m³/h，整机6kA防雷滤波，远程监控，来电自启动，恒温恒湿功能</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8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1台</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14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A5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3C29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14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9</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4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万兆光模块</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E31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光模块-SFP+-10G-单模模块(1310nm,10km,LC)</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BF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E8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9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24EB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7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68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千兆光模块</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1F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光模块-SFP-GE-单模模块(1310nm,10km,LC)</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21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24块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2D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9D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3D8B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45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DF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万兆光纤跳线</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74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电信级万兆光纤跳线LC-LC-5M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4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FC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A9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3040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8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7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千兆光纤跳线</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F55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电信级千兆光纤跳线LC-LC-5M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18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24条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54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8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60B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E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14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24芯单模光纤（室内）</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774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24芯单模室内光纤（国标）</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2E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200米</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1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D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DBF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D5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F6A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ODF配线架</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859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48芯ODF配线架LC接口满配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9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CB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B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2F15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35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A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熔纤盒子</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41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12芯熔纤盒LC接口</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DA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5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6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5062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DC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5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耦合器</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72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LC耦合器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5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36个</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53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F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10C3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A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6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熔纤费</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F48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级防盗楼层间光纤线熔接费用，会议室光纤位置迁移熔纤费用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B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84根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8A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DC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5C60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18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C0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网线</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C7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超六类非屏蔽网线CAT6A；铜芯直径≥0.57</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CC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3箱</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7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97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213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A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52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水晶头</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839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超六类水晶头</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67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3盒</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2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B4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7FE3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DF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8B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辅材</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E5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扎带、标签纸、线管20米、接头、胶布</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B4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85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8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r w14:paraId="0732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4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41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人工费</w:t>
            </w:r>
          </w:p>
        </w:tc>
        <w:tc>
          <w:tcPr>
            <w:tcW w:w="10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6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消防主机搬迁，无线面板和吸顶AP安装、布线（接线）、调试，所有光纤布线，原有会议室光纤迁移，所有办公位线路排查、寻线、测通断、接线、打标签，机房门禁安装调试，机房空调安装调试</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0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t>1次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5E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E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18"/>
                <w:szCs w:val="18"/>
                <w:u w:val="none"/>
                <w:lang w:val="en-US" w:eastAsia="zh-CN" w:bidi="ar"/>
                <w14:textFill>
                  <w14:solidFill>
                    <w14:schemeClr w14:val="tx1"/>
                  </w14:solidFill>
                </w14:textFill>
              </w:rPr>
            </w:pPr>
          </w:p>
        </w:tc>
      </w:tr>
    </w:tbl>
    <w:p w14:paraId="3216F5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4E50E2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03E7C77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响应人（全称并加盖公章）:                               </w:t>
      </w:r>
    </w:p>
    <w:p w14:paraId="200962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2EE5FDB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法定代表人或授权代表人（签字或盖章）：                  </w:t>
      </w:r>
    </w:p>
    <w:p w14:paraId="2FDE60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0B9973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ABE60921-E814-469B-87D6-F824E5AE8CD1}"/>
  </w:font>
  <w:font w:name="仿宋_GB2312">
    <w:panose1 w:val="02010609030101010101"/>
    <w:charset w:val="86"/>
    <w:family w:val="auto"/>
    <w:pitch w:val="default"/>
    <w:sig w:usb0="00000001" w:usb1="080E0000" w:usb2="00000000" w:usb3="00000000" w:csb0="00040000" w:csb1="00000000"/>
    <w:embedRegular r:id="rId2" w:fontKey="{726B7840-4F6C-4A0E-91FD-926A7C73CB7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763FB"/>
    <w:multiLevelType w:val="singleLevel"/>
    <w:tmpl w:val="9AC763FB"/>
    <w:lvl w:ilvl="0" w:tentative="0">
      <w:start w:val="1"/>
      <w:numFmt w:val="decimal"/>
      <w:suff w:val="space"/>
      <w:lvlText w:val="%1."/>
      <w:lvlJc w:val="left"/>
    </w:lvl>
  </w:abstractNum>
  <w:abstractNum w:abstractNumId="1">
    <w:nsid w:val="AE94063A"/>
    <w:multiLevelType w:val="singleLevel"/>
    <w:tmpl w:val="AE94063A"/>
    <w:lvl w:ilvl="0" w:tentative="0">
      <w:start w:val="1"/>
      <w:numFmt w:val="decimal"/>
      <w:suff w:val="nothing"/>
      <w:lvlText w:val="%1、"/>
      <w:lvlJc w:val="left"/>
    </w:lvl>
  </w:abstractNum>
  <w:abstractNum w:abstractNumId="2">
    <w:nsid w:val="D3BEAFA5"/>
    <w:multiLevelType w:val="singleLevel"/>
    <w:tmpl w:val="D3BEAFA5"/>
    <w:lvl w:ilvl="0" w:tentative="0">
      <w:start w:val="1"/>
      <w:numFmt w:val="decimal"/>
      <w:suff w:val="space"/>
      <w:lvlText w:val="%1."/>
      <w:lvlJc w:val="left"/>
    </w:lvl>
  </w:abstractNum>
  <w:abstractNum w:abstractNumId="3">
    <w:nsid w:val="0BDA6821"/>
    <w:multiLevelType w:val="singleLevel"/>
    <w:tmpl w:val="0BDA6821"/>
    <w:lvl w:ilvl="0" w:tentative="0">
      <w:start w:val="1"/>
      <w:numFmt w:val="decimal"/>
      <w:lvlText w:val="%1."/>
      <w:lvlJc w:val="left"/>
      <w:pPr>
        <w:tabs>
          <w:tab w:val="left" w:pos="312"/>
        </w:tabs>
      </w:pPr>
    </w:lvl>
  </w:abstractNum>
  <w:abstractNum w:abstractNumId="4">
    <w:nsid w:val="28759E98"/>
    <w:multiLevelType w:val="singleLevel"/>
    <w:tmpl w:val="28759E98"/>
    <w:lvl w:ilvl="0" w:tentative="0">
      <w:start w:val="1"/>
      <w:numFmt w:val="decimal"/>
      <w:suff w:val="nothing"/>
      <w:lvlText w:val="%1、"/>
      <w:lvlJc w:val="left"/>
    </w:lvl>
  </w:abstractNum>
  <w:abstractNum w:abstractNumId="5">
    <w:nsid w:val="294DC6E5"/>
    <w:multiLevelType w:val="singleLevel"/>
    <w:tmpl w:val="294DC6E5"/>
    <w:lvl w:ilvl="0" w:tentative="0">
      <w:start w:val="1"/>
      <w:numFmt w:val="decimal"/>
      <w:lvlText w:val="%1."/>
      <w:lvlJc w:val="left"/>
      <w:pPr>
        <w:tabs>
          <w:tab w:val="left" w:pos="312"/>
        </w:tabs>
      </w:pPr>
    </w:lvl>
  </w:abstractNum>
  <w:abstractNum w:abstractNumId="6">
    <w:nsid w:val="32C39C6D"/>
    <w:multiLevelType w:val="singleLevel"/>
    <w:tmpl w:val="32C39C6D"/>
    <w:lvl w:ilvl="0" w:tentative="0">
      <w:start w:val="1"/>
      <w:numFmt w:val="decimal"/>
      <w:suff w:val="nothing"/>
      <w:lvlText w:val="%1、"/>
      <w:lvlJc w:val="left"/>
    </w:lvl>
  </w:abstractNum>
  <w:abstractNum w:abstractNumId="7">
    <w:nsid w:val="37259F2E"/>
    <w:multiLevelType w:val="singleLevel"/>
    <w:tmpl w:val="37259F2E"/>
    <w:lvl w:ilvl="0" w:tentative="0">
      <w:start w:val="1"/>
      <w:numFmt w:val="decimal"/>
      <w:lvlText w:val="%1."/>
      <w:lvlJc w:val="left"/>
      <w:pPr>
        <w:tabs>
          <w:tab w:val="left" w:pos="312"/>
        </w:tabs>
      </w:pPr>
    </w:lvl>
  </w:abstractNum>
  <w:abstractNum w:abstractNumId="8">
    <w:nsid w:val="3AA75587"/>
    <w:multiLevelType w:val="singleLevel"/>
    <w:tmpl w:val="3AA75587"/>
    <w:lvl w:ilvl="0" w:tentative="0">
      <w:start w:val="1"/>
      <w:numFmt w:val="decimal"/>
      <w:lvlText w:val="%1."/>
      <w:lvlJc w:val="left"/>
      <w:pPr>
        <w:tabs>
          <w:tab w:val="left" w:pos="312"/>
        </w:tabs>
      </w:pPr>
    </w:lvl>
  </w:abstractNum>
  <w:abstractNum w:abstractNumId="9">
    <w:nsid w:val="49980DBD"/>
    <w:multiLevelType w:val="singleLevel"/>
    <w:tmpl w:val="49980DBD"/>
    <w:lvl w:ilvl="0" w:tentative="0">
      <w:start w:val="1"/>
      <w:numFmt w:val="decimal"/>
      <w:suff w:val="nothing"/>
      <w:lvlText w:val="%1、"/>
      <w:lvlJc w:val="left"/>
    </w:lvl>
  </w:abstractNum>
  <w:abstractNum w:abstractNumId="10">
    <w:nsid w:val="53F2BAEE"/>
    <w:multiLevelType w:val="singleLevel"/>
    <w:tmpl w:val="53F2BAEE"/>
    <w:lvl w:ilvl="0" w:tentative="0">
      <w:start w:val="1"/>
      <w:numFmt w:val="decimal"/>
      <w:suff w:val="space"/>
      <w:lvlText w:val="%1."/>
      <w:lvlJc w:val="left"/>
    </w:lvl>
  </w:abstractNum>
  <w:abstractNum w:abstractNumId="11">
    <w:nsid w:val="69AFAB2B"/>
    <w:multiLevelType w:val="singleLevel"/>
    <w:tmpl w:val="69AFAB2B"/>
    <w:lvl w:ilvl="0" w:tentative="0">
      <w:start w:val="1"/>
      <w:numFmt w:val="decimal"/>
      <w:suff w:val="space"/>
      <w:lvlText w:val="%1."/>
      <w:lvlJc w:val="left"/>
    </w:lvl>
  </w:abstractNum>
  <w:abstractNum w:abstractNumId="12">
    <w:nsid w:val="77937F29"/>
    <w:multiLevelType w:val="singleLevel"/>
    <w:tmpl w:val="77937F29"/>
    <w:lvl w:ilvl="0" w:tentative="0">
      <w:start w:val="1"/>
      <w:numFmt w:val="decimal"/>
      <w:suff w:val="nothing"/>
      <w:lvlText w:val="%1、"/>
      <w:lvlJc w:val="left"/>
    </w:lvl>
  </w:abstractNum>
  <w:num w:numId="1">
    <w:abstractNumId w:val="7"/>
  </w:num>
  <w:num w:numId="2">
    <w:abstractNumId w:val="11"/>
  </w:num>
  <w:num w:numId="3">
    <w:abstractNumId w:val="2"/>
  </w:num>
  <w:num w:numId="4">
    <w:abstractNumId w:val="10"/>
  </w:num>
  <w:num w:numId="5">
    <w:abstractNumId w:val="0"/>
  </w:num>
  <w:num w:numId="6">
    <w:abstractNumId w:val="8"/>
  </w:num>
  <w:num w:numId="7">
    <w:abstractNumId w:val="3"/>
  </w:num>
  <w:num w:numId="8">
    <w:abstractNumId w:val="5"/>
  </w:num>
  <w:num w:numId="9">
    <w:abstractNumId w:val="4"/>
  </w:num>
  <w:num w:numId="10">
    <w:abstractNumId w:val="9"/>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WE1MmFhZjU2ZTczNzI1ZjgwN2Y0MTY2ZjQ2MzQifQ=="/>
  </w:docVars>
  <w:rsids>
    <w:rsidRoot w:val="465A1245"/>
    <w:rsid w:val="2E505007"/>
    <w:rsid w:val="465A1245"/>
    <w:rsid w:val="62C7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8495</Words>
  <Characters>9543</Characters>
  <Lines>0</Lines>
  <Paragraphs>0</Paragraphs>
  <TotalTime>164</TotalTime>
  <ScaleCrop>false</ScaleCrop>
  <LinksUpToDate>false</LinksUpToDate>
  <CharactersWithSpaces>9624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2024-07-17T03:30:00Z</dcterms:created>
  <dc:creator>玮玮书童</dc:creator>
  <cp:lastModifiedBy>闲看花落</cp:lastModifiedBy>
  <dcterms:modified xsi:type="dcterms:W3CDTF">2024-07-18T09:34:05Z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09857BC91BA14DA18053F4CEC99A4127_13</vt:lpwstr>
  </property>
</Properties>
</file>